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rPr>
          <w:rFonts w:ascii="BatangChe" w:hAnsi="BatangChe" w:eastAsia="黑体" w:cs="仿宋_GB2312"/>
          <w:sz w:val="32"/>
          <w:szCs w:val="32"/>
        </w:rPr>
      </w:pPr>
      <w:r>
        <w:rPr>
          <w:rFonts w:hint="eastAsia" w:ascii="BatangChe" w:hAnsi="BatangChe" w:eastAsia="黑体" w:cs="仿宋_GB2312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杨陵区2021年第一季度政府网站抽查情况汇总表</w:t>
      </w:r>
    </w:p>
    <w:bookmarkEnd w:id="0"/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3617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595"/>
        <w:gridCol w:w="10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0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部门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001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1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生态环境局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信息公开栏目超过6个月未更新（检查时更新至2020年5月22日），政策法规栏目超过1年未更新（检查时更新至2020年2月14日）。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2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农业农村局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政策法规栏目超过1年未更新（检查时更新至2020年2月24日）；畜牧养殖栏目超过6个月未更新（检查时更新至2020年6月2日）。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3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统计局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信息公开栏目超过3个月未更新（检查时更新至2020年10月13日）；曝光台栏目超过6个月未更新（检查时更新至2020年5月11日）。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4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城改办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信息公开栏目超过3个月未更新（检查时更新至2020年12月14日）。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5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财政局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信息公开栏目超过3个月未更新（检查时更新至2020年9月23日），财政信息栏目超过3个月未更新（检查时更新至2020年11月30日）。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6</w:t>
            </w:r>
          </w:p>
        </w:tc>
        <w:tc>
          <w:tcPr>
            <w:tcW w:w="259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五泉镇政府</w:t>
            </w:r>
          </w:p>
        </w:tc>
        <w:tc>
          <w:tcPr>
            <w:tcW w:w="10013" w:type="dxa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</w:rPr>
              <w:t>信息公开栏目超过3个月未更新（检查时更新至2020年10月10日）</w:t>
            </w:r>
          </w:p>
        </w:tc>
      </w:tr>
    </w:tbl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注：监测时间节点为2021年3月17日。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F4417"/>
    <w:rsid w:val="334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2021-04-08T10:54:00Z</dcterms:created>
  <dc:creator>李妖猫</dc:creator>
  <cp:lastModifiedBy>李妖猫</cp:lastModifiedBy>
  <dcterms:modified xsi:type="dcterms:W3CDTF">2021-04-08T10:54:38Z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38104F875D064FD7A6AE46DD9A496712</vt:lpwstr>
  </property>
</Properties>
</file>