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杨陵区建设项目地下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砂石资源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报告处置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一、及时报告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建设项目单位在土方开挖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建设过程中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发现砂石资源的，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应书面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自然资源部门报告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企业营业执照、立项手续、用地手续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勘测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定界报告书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经审批的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工程规划设计方案、基础开挖平面图、建设工程规划总平图等资料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二、认定方量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由区自然资源局对建设项目地下砂石资源总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进行认定；区住建局核定建设项目地下砂石资源自用量；区财政局对建设项目地下砂石资源认定、核定过程进行监督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三、确定处置方案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由区自然资源局提请杨陵区砂石资源管理工作领导小组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砂石资源处置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住建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局及建设项目单位参加，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工程建设项目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地下砂石资源处置方式。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四、分类处置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（一）现场处置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处置方式确定为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现场处置的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由区自然资源局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第三方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拍卖公司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拍卖法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程序在规定时间内完成公开拍卖工作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全程参与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转移堆场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处置方式确定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转移堆场处置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由区自然资源局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按照快捷、方便、就近的原则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确定砂石资源堆场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、认定及建设工程规划总平图审批内容、时间节点要求施工，将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的砂石资源交由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区自然资源局统一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外运至指定堆场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按拍卖程序进行处置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附件：2-1杨陵区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开挖地下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砂石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资源报告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2-2杨陵区建设项目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砂石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资源认定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2-3杨陵区建设项目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地下砂石资源处置意见会审表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杨陵区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建设项目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开挖地下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砂石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资源报告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宋体" w:hAnsi="宋体" w:eastAsia="宋体" w:cs="宋体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vertAlign w:val="baselin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vertAlign w:val="baseline"/>
          <w:lang w:eastAsia="zh-CN"/>
        </w:rPr>
        <w:t>编号：</w:t>
      </w:r>
    </w:p>
    <w:tbl>
      <w:tblPr>
        <w:tblStyle w:val="7"/>
        <w:tblW w:w="9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2815"/>
        <w:gridCol w:w="2797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78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建设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用地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面积（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亩）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是否涉及砂石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开挖拉运约定时间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开挖范围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开挖砂石面积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施工单位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现场联系人及电话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施工单位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8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（盖章）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建设项目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业主单位意见</w:t>
            </w:r>
          </w:p>
        </w:tc>
        <w:tc>
          <w:tcPr>
            <w:tcW w:w="78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（盖章）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企业营业执照、立项手续、用地手续、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勘测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定界报告书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经审批的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工程规划设计方案、基础开挖平面图、建设工程规划总平图等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资料，由建设项目单位对提交资料的真实性负责，并加盖公章。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杨陵区建设项目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地下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砂石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资源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认定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表</w:t>
      </w:r>
    </w:p>
    <w:p>
      <w:pPr>
        <w:jc w:val="left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vertAlign w:val="baseline"/>
          <w:lang w:val="en-US" w:eastAsia="zh-CN"/>
        </w:rPr>
        <w:t xml:space="preserve">编 号：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</w:t>
      </w:r>
    </w:p>
    <w:tbl>
      <w:tblPr>
        <w:tblStyle w:val="7"/>
        <w:tblW w:w="14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322"/>
        <w:gridCol w:w="1525"/>
        <w:gridCol w:w="1503"/>
        <w:gridCol w:w="544"/>
        <w:gridCol w:w="2380"/>
        <w:gridCol w:w="1192"/>
        <w:gridCol w:w="269"/>
        <w:gridCol w:w="3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建设项目名称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建设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设计单位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项目占地面积（亩）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建筑物占地面积（亩）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地基开挖深度（米）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项目情况简介</w:t>
            </w:r>
          </w:p>
        </w:tc>
        <w:tc>
          <w:tcPr>
            <w:tcW w:w="7274" w:type="dxa"/>
            <w:gridSpan w:val="5"/>
            <w:vAlign w:val="center"/>
          </w:tcPr>
          <w:p>
            <w:pPr>
              <w:ind w:firstLine="480" w:firstLineChars="200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项目备案编号（发改局文件）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开挖方量（m³）</w:t>
            </w:r>
          </w:p>
        </w:tc>
        <w:tc>
          <w:tcPr>
            <w:tcW w:w="12018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开挖总方量：       （其中：上层土方量        ，下层砂石方量       ）；自用砂石方量         ；剩余砂石方量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268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参与认定单位签字盖章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572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区自然资源局</w:t>
            </w:r>
          </w:p>
        </w:tc>
        <w:tc>
          <w:tcPr>
            <w:tcW w:w="357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区住建局</w:t>
            </w:r>
          </w:p>
        </w:tc>
        <w:tc>
          <w:tcPr>
            <w:tcW w:w="357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区财政局</w:t>
            </w:r>
          </w:p>
        </w:tc>
        <w:tc>
          <w:tcPr>
            <w:tcW w:w="35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建设项目单位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3572" w:type="dxa"/>
            <w:gridSpan w:val="2"/>
            <w:vAlign w:val="top"/>
          </w:tcPr>
          <w:p>
            <w:pPr>
              <w:jc w:val="both"/>
              <w:rPr>
                <w:rFonts w:hint="default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</w:tc>
        <w:tc>
          <w:tcPr>
            <w:tcW w:w="3572" w:type="dxa"/>
            <w:gridSpan w:val="3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</w:tc>
        <w:tc>
          <w:tcPr>
            <w:tcW w:w="3572" w:type="dxa"/>
            <w:gridSpan w:val="2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</w:tc>
        <w:tc>
          <w:tcPr>
            <w:tcW w:w="3552" w:type="dxa"/>
            <w:gridSpan w:val="2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color w:val="auto"/>
          <w:sz w:val="18"/>
          <w:szCs w:val="18"/>
          <w:lang w:eastAsia="zh-CN"/>
        </w:rPr>
        <w:sectPr>
          <w:pgSz w:w="16838" w:h="11906" w:orient="landscape"/>
          <w:pgMar w:top="1474" w:right="1440" w:bottom="1803" w:left="1440" w:header="851" w:footer="1417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黑体" w:hAnsi="黑体" w:eastAsia="黑体" w:cs="黑体"/>
          <w:color w:val="auto"/>
          <w:sz w:val="18"/>
          <w:szCs w:val="18"/>
          <w:lang w:eastAsia="zh-CN"/>
        </w:rPr>
        <w:t>附：</w:t>
      </w:r>
      <w:r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  <w:t>1.建设项目单位开挖方量技术报告</w:t>
      </w:r>
      <w:r>
        <w:rPr>
          <w:rFonts w:hint="eastAsia" w:ascii="黑体" w:hAnsi="黑体" w:eastAsia="黑体" w:cs="黑体"/>
          <w:color w:val="auto"/>
          <w:sz w:val="18"/>
          <w:szCs w:val="18"/>
          <w:lang w:eastAsia="zh-CN"/>
        </w:rPr>
        <w:t>；</w:t>
      </w:r>
      <w:r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  <w:t>2.建设项目单位工程施工图</w:t>
      </w:r>
      <w:r>
        <w:rPr>
          <w:rFonts w:hint="eastAsia" w:ascii="黑体" w:hAnsi="黑体" w:eastAsia="黑体" w:cs="黑体"/>
          <w:color w:val="auto"/>
          <w:sz w:val="18"/>
          <w:szCs w:val="18"/>
          <w:lang w:eastAsia="zh-CN"/>
        </w:rPr>
        <w:t>；</w:t>
      </w:r>
      <w:r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  <w:t>3.住建局出具自用砂石方量核定报告</w:t>
      </w:r>
      <w:r>
        <w:rPr>
          <w:rFonts w:hint="eastAsia" w:ascii="黑体" w:hAnsi="黑体" w:eastAsia="黑体" w:cs="黑体"/>
          <w:color w:val="auto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rPr>
          <w:rFonts w:hint="default" w:ascii="方正小标宋简体" w:hAnsi="方正小标宋简体" w:eastAsia="方正小标宋简体" w:cs="方正小标宋简体"/>
          <w:color w:val="auto"/>
          <w:sz w:val="44"/>
          <w:szCs w:val="5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杨陵区建设项目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  <w:t>地下砂石资源处置意见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eastAsia="zh-CN"/>
        </w:rPr>
        <w:t>会审表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  年   月   日</w:t>
      </w:r>
    </w:p>
    <w:tbl>
      <w:tblPr>
        <w:tblStyle w:val="7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3690"/>
        <w:gridCol w:w="3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2514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会审内容</w:t>
            </w:r>
          </w:p>
        </w:tc>
        <w:tc>
          <w:tcPr>
            <w:tcW w:w="7382" w:type="dxa"/>
            <w:gridSpan w:val="2"/>
            <w:vAlign w:val="center"/>
          </w:tcPr>
          <w:p>
            <w:pPr>
              <w:pStyle w:val="9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514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呈报部门</w:t>
            </w:r>
          </w:p>
        </w:tc>
        <w:tc>
          <w:tcPr>
            <w:tcW w:w="7382" w:type="dxa"/>
            <w:gridSpan w:val="2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514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列席部门</w:t>
            </w:r>
          </w:p>
        </w:tc>
        <w:tc>
          <w:tcPr>
            <w:tcW w:w="7382" w:type="dxa"/>
            <w:gridSpan w:val="2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514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会审意见</w:t>
            </w:r>
          </w:p>
        </w:tc>
        <w:tc>
          <w:tcPr>
            <w:tcW w:w="7382" w:type="dxa"/>
            <w:gridSpan w:val="2"/>
            <w:vAlign w:val="center"/>
          </w:tcPr>
          <w:p>
            <w:pPr>
              <w:spacing w:line="600" w:lineRule="exact"/>
              <w:ind w:firstLine="640" w:firstLineChars="200"/>
              <w:contextualSpacing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2514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各部门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3690" w:type="dxa"/>
            <w:vAlign w:val="top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区自然资源局：</w:t>
            </w:r>
          </w:p>
        </w:tc>
        <w:tc>
          <w:tcPr>
            <w:tcW w:w="3692" w:type="dxa"/>
            <w:vAlign w:val="top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住建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pStyle w:val="9"/>
              <w:rPr>
                <w:color w:val="auto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局：</w:t>
            </w:r>
          </w:p>
          <w:p>
            <w:pPr>
              <w:pStyle w:val="9"/>
              <w:rPr>
                <w:color w:val="auto"/>
              </w:rPr>
            </w:pPr>
          </w:p>
        </w:tc>
        <w:tc>
          <w:tcPr>
            <w:tcW w:w="3692" w:type="dxa"/>
            <w:vAlign w:val="top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建设项目单位：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2514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杨陵区砂石资源管理领导小组</w:t>
            </w: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组长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7382" w:type="dxa"/>
            <w:gridSpan w:val="2"/>
            <w:vAlign w:val="top"/>
          </w:tcPr>
          <w:p>
            <w:pPr>
              <w:pStyle w:val="9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pStyle w:val="9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pStyle w:val="9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15" w:rightChars="150"/>
                            <w:textAlignment w:val="auto"/>
                            <w:outlineLvl w:val="9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15" w:rightChars="150"/>
                      <w:textAlignment w:val="auto"/>
                      <w:outlineLvl w:val="9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0" w:rightChars="0"/>
                            <w:textAlignment w:val="auto"/>
                            <w:outlineLvl w:val="9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0" w:rightChars="0"/>
                      <w:textAlignment w:val="auto"/>
                      <w:outlineLvl w:val="9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GJlMTA3Y2M3NDhlMmZiNjlkYzU5OWEzOGY4ZDQifQ=="/>
  </w:docVars>
  <w:rsids>
    <w:rsidRoot w:val="1F8B21C5"/>
    <w:rsid w:val="1C8906F6"/>
    <w:rsid w:val="1F8B21C5"/>
    <w:rsid w:val="232F75C6"/>
    <w:rsid w:val="29F37D72"/>
    <w:rsid w:val="2A1B39A1"/>
    <w:rsid w:val="327921DC"/>
    <w:rsid w:val="35C9034A"/>
    <w:rsid w:val="4A53254D"/>
    <w:rsid w:val="56D92AFD"/>
    <w:rsid w:val="59F859C7"/>
    <w:rsid w:val="66E96F94"/>
    <w:rsid w:val="7CF6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1064</Words>
  <Characters>1080</Characters>
  <Lines>0</Lines>
  <Paragraphs>0</Paragraphs>
  <TotalTime>0</TotalTime>
  <ScaleCrop>false</ScaleCrop>
  <LinksUpToDate>false</LinksUpToDate>
  <CharactersWithSpaces>1322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2022-11-16T07:27:00Z</dcterms:created>
  <dc:creator>李妖猫</dc:creator>
  <cp:lastModifiedBy>李妖猫</cp:lastModifiedBy>
  <dcterms:modified xsi:type="dcterms:W3CDTF">2022-11-16T07:27:59Z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56CA043EB20D4BDCB938AC341BC8E9FF</vt:lpwstr>
  </property>
</Properties>
</file>