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center"/>
        <w:textAlignment w:val="auto"/>
        <w:rPr>
          <w:rFonts w:hint="eastAsia" w:ascii="仿宋_GB2312" w:hAnsi="仿宋" w:eastAsia="仿宋_GB2312"/>
          <w:sz w:val="32"/>
          <w:szCs w:val="32"/>
          <w:vertAlign w:val="baseline"/>
        </w:rPr>
      </w:pPr>
      <w:r>
        <w:rPr>
          <w:rFonts w:hint="eastAsia" w:ascii="仿宋_GB2312" w:hAnsi="仿宋" w:eastAsia="仿宋_GB2312"/>
          <w:sz w:val="32"/>
          <w:szCs w:val="32"/>
        </w:rPr>
        <w:t xml:space="preserve"> </w:t>
      </w:r>
    </w:p>
    <w:p>
      <w:pPr>
        <w:jc w:val="both"/>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交通运输</w:t>
      </w:r>
      <w:r>
        <w:rPr>
          <w:rFonts w:hint="eastAsia" w:asciiTheme="majorEastAsia" w:hAnsiTheme="majorEastAsia" w:eastAsiaTheme="majorEastAsia" w:cstheme="majorEastAsia"/>
          <w:b/>
          <w:bCs/>
          <w:sz w:val="48"/>
          <w:szCs w:val="48"/>
          <w:lang w:eastAsia="zh-CN"/>
        </w:rPr>
        <w:t>局</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p>
    <w:p>
      <w:pPr>
        <w:spacing w:line="560" w:lineRule="exact"/>
        <w:jc w:val="center"/>
        <w:rPr>
          <w:rFonts w:hint="eastAsia" w:ascii="宋体" w:hAnsi="宋体" w:eastAsia="宋体" w:cs="宋体"/>
          <w:b/>
          <w:bCs/>
          <w:sz w:val="48"/>
          <w:szCs w:val="48"/>
          <w:lang w:val="en-US" w:eastAsia="zh-CN"/>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1606" w:firstLineChars="500"/>
        <w:rPr>
          <w:rFonts w:ascii="宋体" w:hAnsi="宋体" w:cs="宋体"/>
          <w:b/>
          <w:bCs/>
          <w:sz w:val="32"/>
          <w:szCs w:val="32"/>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r>
        <w:rPr>
          <w:rFonts w:ascii="宋体" w:hAnsi="宋体" w:cs="宋体"/>
          <w:b/>
          <w:bCs/>
          <w:sz w:val="32"/>
          <w:szCs w:val="32"/>
        </w:rPr>
        <w:t xml:space="preserve"> </w:t>
      </w: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（一）“三公”经费财政拨款支出决算总体情况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（二）“三公”经费财政拨款支出决算具体情况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（三）培训费支出情况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（四）会议费支出情况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w:t>
      </w:r>
      <w:r>
        <w:rPr>
          <w:rFonts w:hint="eastAsia" w:ascii="仿宋" w:hAnsi="仿宋" w:eastAsia="仿宋" w:cs="楷体"/>
          <w:color w:val="auto"/>
          <w:kern w:val="0"/>
          <w:sz w:val="32"/>
          <w:szCs w:val="32"/>
          <w:lang w:bidi="ar"/>
        </w:rPr>
        <w:t>机关运行经费支出情况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十一、</w:t>
      </w:r>
      <w:r>
        <w:rPr>
          <w:rFonts w:hint="eastAsia" w:ascii="仿宋" w:hAnsi="仿宋" w:eastAsia="仿宋" w:cs="楷体"/>
          <w:color w:val="auto"/>
          <w:kern w:val="0"/>
          <w:sz w:val="32"/>
          <w:szCs w:val="32"/>
          <w:lang w:bidi="ar"/>
        </w:rPr>
        <w:t>政府采购支出情况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十二、</w:t>
      </w:r>
      <w:r>
        <w:rPr>
          <w:rFonts w:hint="eastAsia" w:ascii="仿宋" w:hAnsi="仿宋" w:eastAsia="仿宋" w:cs="楷体"/>
          <w:color w:val="auto"/>
          <w:kern w:val="0"/>
          <w:sz w:val="32"/>
          <w:szCs w:val="32"/>
          <w:lang w:bidi="ar"/>
        </w:rPr>
        <w:t>国有资产占用及购置情况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val="en-US"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kern w:val="2"/>
          <w:sz w:val="32"/>
          <w:szCs w:val="24"/>
          <w:lang w:val="en-US" w:eastAsia="zh-CN" w:bidi="ar"/>
        </w:rPr>
      </w:pPr>
      <w:r>
        <w:rPr>
          <w:rFonts w:hint="eastAsia" w:ascii="仿宋_GB2312" w:hAnsi="仿宋_GB2312" w:eastAsia="仿宋_GB2312" w:cs="仿宋_GB2312"/>
          <w:kern w:val="2"/>
          <w:sz w:val="32"/>
          <w:szCs w:val="24"/>
          <w:lang w:val="en-US" w:eastAsia="zh-CN" w:bidi="ar"/>
        </w:rPr>
        <w:t>杨陵区交通局成立于1995年4月（2010年10月更名为杨陵区交通运输局），是区政府主管交通工作的职能部门，主要承担着全区农村公路建设、公路养护、路政管理、交通运输管理、水上运输管理、驾驶员培训学校管理、交通战备等职责。</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jc w:val="left"/>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仿宋_GB2312" w:hAnsi="仿宋_GB2312" w:eastAsia="仿宋_GB2312" w:cs="仿宋_GB2312"/>
          <w:sz w:val="32"/>
          <w:szCs w:val="32"/>
        </w:rPr>
        <w:t>杨陵区交通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下设5个事业单位，杨陵区交通运输综合执法大队，杨陵区道路运输管理所，杨陵区公路管理站，杨陵区公路工程质量监督站，杨陵区出租车管理办公室。</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其中独立核算二级预算单位4个，交通运输综合执法大队在局机关合并核算</w:t>
      </w:r>
      <w:r>
        <w:rPr>
          <w:rFonts w:hint="eastAsia" w:ascii="仿宋_GB2312" w:hAnsi="仿宋_GB2312" w:eastAsia="仿宋_GB2312" w:cs="仿宋_GB2312"/>
          <w:sz w:val="32"/>
          <w:szCs w:val="32"/>
        </w:rPr>
        <w:t>：</w:t>
      </w: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局</w:t>
            </w:r>
            <w:r>
              <w:rPr>
                <w:rFonts w:hint="eastAsia" w:ascii="仿宋_GB2312" w:hAnsi="仿宋_GB2312" w:eastAsia="仿宋_GB2312" w:cs="仿宋_GB2312"/>
                <w:kern w:val="2"/>
                <w:sz w:val="32"/>
                <w:szCs w:val="32"/>
                <w:lang w:val="en-US" w:eastAsia="zh-CN" w:bidi="ar"/>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杨陵区交通运输综合执法大队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杨陵区道路运输管理所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杨陵区公路管理站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杨陵区公路工程质量监督站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278" w:type="dxa"/>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杨陵区出租车管理办公室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kern w:val="2"/>
          <w:sz w:val="32"/>
          <w:szCs w:val="32"/>
          <w:lang w:val="en-US" w:eastAsia="zh-CN" w:bidi="ar"/>
        </w:rPr>
        <w:t>59</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kern w:val="2"/>
          <w:sz w:val="32"/>
          <w:szCs w:val="32"/>
          <w:lang w:val="en-US" w:eastAsia="zh-CN" w:bidi="ar"/>
        </w:rPr>
        <w:t>54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5"/>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本年度本单位无</w:t>
            </w:r>
            <w:r>
              <w:rPr>
                <w:rFonts w:hint="eastAsia" w:ascii="宋体" w:hAnsi="宋体" w:cs="宋体"/>
                <w:color w:val="000000"/>
                <w:kern w:val="0"/>
                <w:sz w:val="24"/>
                <w:lang w:bidi="ar"/>
              </w:rPr>
              <w:t>政府性基金</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国有资本经营预算财政拨款支出决算表</w:t>
            </w:r>
          </w:p>
          <w:p>
            <w:pPr>
              <w:widowControl/>
              <w:jc w:val="left"/>
              <w:rPr>
                <w:rFonts w:hint="default" w:ascii="宋体" w:hAnsi="宋体" w:eastAsia="宋体" w:cs="宋体"/>
                <w:color w:val="000000"/>
                <w:kern w:val="0"/>
                <w:sz w:val="24"/>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4"/>
                <w:lang w:val="en-US" w:eastAsia="zh-CN"/>
              </w:rPr>
            </w:pPr>
            <w:r>
              <w:rPr>
                <w:rFonts w:hint="eastAsia" w:ascii="宋体" w:hAnsi="宋体" w:cs="宋体"/>
                <w:color w:val="000000"/>
                <w:sz w:val="24"/>
                <w:lang w:val="en-US" w:eastAsia="zh-CN"/>
              </w:rPr>
              <w:t>本年度本单位无国有资本经营预算</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both"/>
        <w:textAlignment w:val="center"/>
        <w:rPr>
          <w:rFonts w:hint="eastAsia" w:ascii="宋体" w:hAnsi="宋体" w:cs="宋体"/>
          <w:b/>
          <w:bCs/>
          <w:sz w:val="32"/>
          <w:szCs w:val="32"/>
        </w:rPr>
      </w:pPr>
    </w:p>
    <w:p>
      <w:pPr>
        <w:widowControl/>
        <w:jc w:val="both"/>
        <w:textAlignment w:val="center"/>
        <w:rPr>
          <w:rFonts w:hint="eastAsia" w:ascii="宋体" w:hAnsi="宋体" w:cs="宋体"/>
          <w:b/>
          <w:bCs/>
          <w:sz w:val="32"/>
          <w:szCs w:val="32"/>
        </w:rPr>
      </w:pPr>
    </w:p>
    <w:p>
      <w:pPr>
        <w:widowControl/>
        <w:jc w:val="both"/>
        <w:textAlignment w:val="center"/>
        <w:rPr>
          <w:rFonts w:hint="eastAsia" w:ascii="宋体" w:hAnsi="宋体" w:cs="宋体"/>
          <w:b/>
          <w:bCs/>
          <w:sz w:val="32"/>
          <w:szCs w:val="32"/>
        </w:rPr>
      </w:pPr>
    </w:p>
    <w:p>
      <w:pPr>
        <w:widowControl/>
        <w:jc w:val="both"/>
        <w:textAlignment w:val="center"/>
        <w:rPr>
          <w:rFonts w:hint="eastAsia" w:ascii="宋体" w:hAnsi="宋体" w:cs="宋体"/>
          <w:b/>
          <w:bCs/>
          <w:sz w:val="32"/>
          <w:szCs w:val="32"/>
        </w:rPr>
      </w:pPr>
    </w:p>
    <w:p>
      <w:pPr>
        <w:widowControl/>
        <w:jc w:val="center"/>
        <w:textAlignment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262"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03"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703.10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8"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3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16" w:lineRule="auto"/>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16" w:lineRule="auto"/>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16" w:lineRule="auto"/>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16" w:lineRule="auto"/>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1335.76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16" w:lineRule="auto"/>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2091.48</w:t>
            </w:r>
          </w:p>
        </w:tc>
      </w:tr>
      <w:tr>
        <w:tblPrEx>
          <w:tblCellMar>
            <w:top w:w="15" w:type="dxa"/>
            <w:left w:w="15" w:type="dxa"/>
            <w:bottom w:w="15" w:type="dxa"/>
            <w:right w:w="15" w:type="dxa"/>
          </w:tblCellMar>
        </w:tblPrEx>
        <w:trPr>
          <w:trHeight w:val="26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16"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24、债务还本支出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25、债务付息支出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0"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8" w:lineRule="auto"/>
              <w:jc w:val="right"/>
              <w:textAlignment w:val="center"/>
              <w:rPr>
                <w:rFonts w:ascii="宋体" w:hAnsi="宋体" w:cs="宋体"/>
                <w:color w:val="000000"/>
                <w:szCs w:val="21"/>
              </w:rPr>
            </w:pPr>
            <w:r>
              <w:rPr>
                <w:rFonts w:hint="eastAsia" w:ascii="宋体" w:hAnsi="宋体" w:cs="宋体"/>
                <w:color w:val="000000"/>
                <w:kern w:val="0"/>
                <w:szCs w:val="21"/>
                <w:lang w:val="en-US" w:eastAsia="zh-CN"/>
              </w:rPr>
              <w:t>2038.86</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2096.48</w:t>
            </w:r>
          </w:p>
        </w:tc>
      </w:tr>
      <w:tr>
        <w:tblPrEx>
          <w:tblCellMar>
            <w:top w:w="15" w:type="dxa"/>
            <w:left w:w="15" w:type="dxa"/>
            <w:bottom w:w="15" w:type="dxa"/>
            <w:right w:w="15" w:type="dxa"/>
          </w:tblCellMar>
        </w:tblPrEx>
        <w:trPr>
          <w:trHeight w:val="30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Cs/>
                <w:color w:val="000000"/>
                <w:szCs w:val="21"/>
                <w:lang w:val="en-US" w:eastAsia="zh-CN"/>
              </w:rPr>
            </w:pPr>
            <w:r>
              <w:rPr>
                <w:rFonts w:hint="eastAsia" w:ascii="宋体" w:hAnsi="宋体" w:cs="宋体"/>
                <w:bCs/>
                <w:color w:val="000000"/>
                <w:kern w:val="0"/>
                <w:szCs w:val="21"/>
                <w:highlight w:val="none"/>
                <w:lang w:val="en-US"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29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369.29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311.67</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8"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2408.15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2408.15</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67" w:type="dxa"/>
        <w:tblInd w:w="0" w:type="dxa"/>
        <w:tblLayout w:type="fixed"/>
        <w:tblCellMar>
          <w:top w:w="15" w:type="dxa"/>
          <w:left w:w="15" w:type="dxa"/>
          <w:bottom w:w="15" w:type="dxa"/>
          <w:right w:w="15" w:type="dxa"/>
        </w:tblCellMar>
      </w:tblPr>
      <w:tblGrid>
        <w:gridCol w:w="927"/>
        <w:gridCol w:w="1215"/>
        <w:gridCol w:w="887"/>
        <w:gridCol w:w="722"/>
        <w:gridCol w:w="546"/>
        <w:gridCol w:w="791"/>
        <w:gridCol w:w="1186"/>
        <w:gridCol w:w="793"/>
        <w:gridCol w:w="990"/>
        <w:gridCol w:w="810"/>
      </w:tblGrid>
      <w:tr>
        <w:tblPrEx>
          <w:tblCellMar>
            <w:top w:w="15" w:type="dxa"/>
            <w:left w:w="15" w:type="dxa"/>
            <w:bottom w:w="15" w:type="dxa"/>
            <w:right w:w="15" w:type="dxa"/>
          </w:tblCellMar>
        </w:tblPrEx>
        <w:trPr>
          <w:trHeight w:val="378" w:hRule="atLeast"/>
        </w:trPr>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7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046" w:hRule="atLeast"/>
        </w:trPr>
        <w:tc>
          <w:tcPr>
            <w:tcW w:w="927"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7" w:hRule="atLeast"/>
        </w:trPr>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2038.86</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703.10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1335.76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213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农林水支出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1302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林业和草原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2130205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森林资源培育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交通运输支出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2033.86</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703.10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1330.76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公路水路运输</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1890.40</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703.10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1187.30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2140101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行政运行</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113.48</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113.48</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2140106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公路养护</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855.00</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855.0</w:t>
            </w:r>
            <w:r>
              <w:rPr>
                <w:rFonts w:hint="eastAsia" w:ascii="宋体" w:hAnsi="宋体" w:eastAsia="宋体" w:cs="宋体"/>
                <w:i w:val="0"/>
                <w:color w:val="000000"/>
                <w:kern w:val="0"/>
                <w:sz w:val="22"/>
                <w:szCs w:val="22"/>
                <w:u w:val="none"/>
                <w:lang w:val="en-US" w:eastAsia="zh-CN" w:bidi="ar"/>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2140199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其他公路水路运输支出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921.92</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589.62</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332.30</w:t>
            </w:r>
          </w:p>
        </w:tc>
      </w:tr>
      <w:tr>
        <w:tblPrEx>
          <w:tblCellMar>
            <w:top w:w="15" w:type="dxa"/>
            <w:left w:w="15" w:type="dxa"/>
            <w:bottom w:w="15" w:type="dxa"/>
            <w:right w:w="15" w:type="dxa"/>
          </w:tblCellMar>
        </w:tblPrEx>
        <w:trPr>
          <w:trHeight w:val="1173"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143.46</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143.46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2140402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对农村道路客运的补贴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30.00</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30.00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2140403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对出租车的补贴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113.46</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113.46</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val="en-US" w:eastAsia="zh-CN"/>
              </w:rPr>
              <w:t>本年支出</w:t>
            </w: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2096.48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617.30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1479.18</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r>
              <w:rPr>
                <w:rFonts w:hint="eastAsia" w:ascii="宋体" w:hAnsi="宋体" w:cs="宋体"/>
                <w:i w:val="0"/>
                <w:color w:val="000000"/>
                <w:kern w:val="0"/>
                <w:sz w:val="22"/>
                <w:szCs w:val="22"/>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21302</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r>
              <w:rPr>
                <w:rFonts w:hint="eastAsia" w:ascii="宋体" w:hAnsi="宋体" w:cs="宋体"/>
                <w:color w:val="000000"/>
                <w:kern w:val="2"/>
                <w:sz w:val="21"/>
                <w:szCs w:val="21"/>
                <w:lang w:val="en-US" w:eastAsia="zh-CN" w:bidi="ar-SA"/>
              </w:rPr>
              <w:t>林业和草原</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2130205</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r>
              <w:rPr>
                <w:rFonts w:hint="eastAsia" w:ascii="宋体" w:hAnsi="宋体" w:cs="宋体"/>
                <w:i w:val="0"/>
                <w:color w:val="000000"/>
                <w:kern w:val="0"/>
                <w:sz w:val="22"/>
                <w:szCs w:val="22"/>
                <w:u w:val="none"/>
                <w:lang w:val="en-US" w:eastAsia="zh-CN" w:bidi="ar"/>
              </w:rPr>
              <w:t>森林资源培育</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交通运输支出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2091.47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617.30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1474.18</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公路水路运输</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2091.47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617.30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1474.18</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2140101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行政运行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113.48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113.48</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2140106</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公路养护</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989.43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989.43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2140199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其他公路水路运输支出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988.56</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503.82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484.75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703.10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703.10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r>
              <w:rPr>
                <w:rFonts w:hint="eastAsia" w:ascii="宋体" w:hAnsi="宋体" w:cs="宋体"/>
                <w:color w:val="000000"/>
                <w:szCs w:val="21"/>
                <w:lang w:val="en-US" w:eastAsia="zh-CN"/>
              </w:rPr>
              <w:t>703.10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24、债务还本支出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25、债务付息支出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26、抗疫特别国债安排支出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r>
              <w:rPr>
                <w:rFonts w:hint="eastAsia" w:ascii="宋体" w:hAnsi="宋体" w:cs="宋体"/>
                <w:color w:val="000000"/>
                <w:szCs w:val="21"/>
                <w:lang w:val="en-US" w:eastAsia="zh-CN"/>
              </w:rPr>
              <w:t>703.10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szCs w:val="21"/>
                <w:lang w:val="en-US" w:eastAsia="zh-CN"/>
              </w:rPr>
              <w:t>703.10</w:t>
            </w: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r>
              <w:rPr>
                <w:rFonts w:hint="eastAsia" w:ascii="宋体" w:hAnsi="宋体" w:cs="宋体"/>
                <w:color w:val="000000"/>
                <w:szCs w:val="21"/>
                <w:lang w:val="en-US" w:eastAsia="zh-CN"/>
              </w:rPr>
              <w:t>703.10</w:t>
            </w: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r>
              <w:rPr>
                <w:rFonts w:hint="eastAsia" w:ascii="宋体" w:hAnsi="宋体" w:cs="宋体"/>
                <w:color w:val="000000"/>
                <w:szCs w:val="21"/>
                <w:lang w:val="en-US" w:eastAsia="zh-CN"/>
              </w:rPr>
              <w:t>703.10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szCs w:val="21"/>
                <w:lang w:val="en-US" w:eastAsia="zh-CN"/>
              </w:rPr>
              <w:t>703.10</w:t>
            </w: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r>
              <w:rPr>
                <w:rFonts w:hint="eastAsia" w:ascii="宋体" w:hAnsi="宋体" w:cs="宋体"/>
                <w:color w:val="000000"/>
                <w:szCs w:val="21"/>
                <w:lang w:val="en-US" w:eastAsia="zh-CN"/>
              </w:rPr>
              <w:t>703.10</w:t>
            </w: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lang w:val="en-US" w:eastAsia="zh-CN"/>
              </w:rPr>
              <w:t>703.10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616.91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602.64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交通运输支出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703.10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616.91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602.64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86.19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21401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公路水路运输</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lang w:val="en-US" w:eastAsia="zh-CN"/>
              </w:rPr>
              <w:t>703.10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616.91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602.64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86.19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2140101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113.48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113.48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99.21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2140199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其他公路水路运输支出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589.62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503.43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503.43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616.91</w:t>
            </w:r>
          </w:p>
        </w:tc>
        <w:tc>
          <w:tcPr>
            <w:tcW w:w="1437" w:type="dxa"/>
            <w:tcBorders>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602.64</w:t>
            </w:r>
          </w:p>
        </w:tc>
        <w:tc>
          <w:tcPr>
            <w:tcW w:w="1363" w:type="dxa"/>
            <w:tcBorders>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14.27</w:t>
            </w:r>
          </w:p>
        </w:tc>
        <w:tc>
          <w:tcPr>
            <w:tcW w:w="1155"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602.64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602.64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179.16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179.16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47.32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47.32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48.32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48.32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绩效工资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154.93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154.93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69.04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职工基本医疗保险缴费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30.88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30.88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58.98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58.98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30199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其他工资福利支出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13.99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13.99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lang w:val="en-US" w:eastAsia="zh-CN"/>
              </w:rPr>
              <w:t>14.27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14.27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3020</w:t>
            </w:r>
            <w:r>
              <w:rPr>
                <w:rFonts w:hint="eastAsia" w:ascii="宋体" w:hAnsi="宋体" w:cs="宋体"/>
                <w:color w:val="000000"/>
                <w:kern w:val="0"/>
                <w:szCs w:val="21"/>
                <w:lang w:val="en-US" w:eastAsia="zh-CN"/>
              </w:rPr>
              <w:t>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30217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公务接待费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劳务费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工会经费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4.40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0.39</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0.39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5"/>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lang w:val="en-US" w:eastAsia="zh-CN"/>
        </w:rPr>
      </w:pP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lang w:val="en-US" w:eastAsia="zh-CN"/>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4" w:type="dxa"/>
            <w:gridSpan w:val="2"/>
            <w:noWrap w:val="0"/>
            <w:vAlign w:val="top"/>
          </w:tcPr>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项    目</w:t>
            </w:r>
          </w:p>
        </w:tc>
        <w:tc>
          <w:tcPr>
            <w:tcW w:w="5436" w:type="dxa"/>
            <w:gridSpan w:val="3"/>
            <w:noWrap w:val="0"/>
            <w:vAlign w:val="top"/>
          </w:tcPr>
          <w:p>
            <w:pPr>
              <w:jc w:val="center"/>
              <w:rPr>
                <w:rFonts w:hint="default"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科目编码</w:t>
            </w:r>
          </w:p>
        </w:tc>
        <w:tc>
          <w:tcPr>
            <w:tcW w:w="1812" w:type="dxa"/>
            <w:noWrap w:val="0"/>
            <w:vAlign w:val="top"/>
          </w:tcPr>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rPr>
            </w:pPr>
          </w:p>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合计</w:t>
            </w: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w:t>
      </w:r>
      <w:r>
        <w:rPr>
          <w:rFonts w:hint="eastAsia" w:ascii="宋体" w:hAnsi="宋体" w:cs="宋体"/>
          <w:szCs w:val="21"/>
          <w:lang w:val="en-US" w:eastAsia="zh-CN"/>
        </w:rPr>
        <w:t>国有资本经营预算财政拨款支出情况</w:t>
      </w:r>
      <w:r>
        <w:rPr>
          <w:rFonts w:hint="eastAsia" w:ascii="宋体" w:hAnsi="宋体" w:cs="宋体"/>
          <w:szCs w:val="21"/>
        </w:rPr>
        <w:t>。</w:t>
      </w:r>
      <w:r>
        <w:rPr>
          <w:rFonts w:hint="eastAsia" w:ascii="宋体" w:hAnsi="宋体" w:cs="宋体"/>
          <w:color w:val="000000"/>
          <w:kern w:val="0"/>
          <w:szCs w:val="21"/>
          <w:lang w:val="en-US" w:eastAsia="zh-CN"/>
        </w:rPr>
        <w:t>本表金额转换为万元时，因四舍五入可能存在尾差。</w:t>
      </w:r>
    </w:p>
    <w:p>
      <w:pPr>
        <w:jc w:val="left"/>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val="en-US" w:eastAsia="zh-CN" w:bidi="ar"/>
        </w:rPr>
        <w:t xml:space="preserve">    </w:t>
      </w:r>
      <w:r>
        <w:rPr>
          <w:rFonts w:hint="eastAsia" w:ascii="黑体" w:hAnsi="宋体" w:eastAsia="黑体"/>
          <w:color w:val="000000"/>
          <w:kern w:val="0"/>
          <w:sz w:val="44"/>
          <w:szCs w:val="44"/>
          <w:lang w:bidi="ar"/>
        </w:rPr>
        <w:t>第三部分 2</w:t>
      </w:r>
      <w:r>
        <w:rPr>
          <w:rFonts w:hint="eastAsia" w:ascii="黑体" w:hAnsi="宋体" w:eastAsia="黑体"/>
          <w:color w:val="000000"/>
          <w:kern w:val="0"/>
          <w:sz w:val="44"/>
          <w:szCs w:val="44"/>
          <w:lang w:val="en-US" w:eastAsia="zh-CN" w:bidi="ar"/>
        </w:rPr>
        <w:t>020</w:t>
      </w:r>
      <w:r>
        <w:rPr>
          <w:rFonts w:hint="eastAsia" w:ascii="黑体" w:hAnsi="宋体" w:eastAsia="黑体"/>
          <w:color w:val="000000"/>
          <w:kern w:val="0"/>
          <w:sz w:val="44"/>
          <w:szCs w:val="44"/>
          <w:lang w:bidi="ar"/>
        </w:rPr>
        <w:t xml:space="preserve">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年收入</w:t>
      </w:r>
      <w:r>
        <w:rPr>
          <w:rFonts w:hint="eastAsia" w:ascii="仿宋_GB2312" w:hAnsi="仿宋" w:eastAsia="仿宋_GB2312"/>
          <w:sz w:val="32"/>
          <w:szCs w:val="32"/>
          <w:lang w:val="en-US" w:eastAsia="zh-CN"/>
        </w:rPr>
        <w:t>2038.86</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减少28.62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的主要原因是</w:t>
      </w:r>
      <w:r>
        <w:rPr>
          <w:rFonts w:hint="eastAsia" w:ascii="仿宋" w:hAnsi="仿宋" w:eastAsia="仿宋" w:cs="仿宋"/>
          <w:kern w:val="2"/>
          <w:sz w:val="32"/>
          <w:szCs w:val="32"/>
          <w:lang w:val="en-US" w:eastAsia="zh-CN" w:bidi="ar"/>
        </w:rPr>
        <w:t>项目资金</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drawing>
          <wp:inline distT="0" distB="0" distL="114300" distR="114300">
            <wp:extent cx="5120640" cy="1393190"/>
            <wp:effectExtent l="4445" t="4445" r="18415" b="1206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2096.48</w:t>
      </w:r>
      <w:r>
        <w:rPr>
          <w:rFonts w:hint="eastAsia" w:ascii="仿宋_GB2312" w:hAnsi="仿宋" w:eastAsia="仿宋_GB2312"/>
          <w:sz w:val="32"/>
          <w:szCs w:val="32"/>
        </w:rPr>
        <w:t>万元，及比上年</w:t>
      </w:r>
      <w:r>
        <w:rPr>
          <w:rFonts w:hint="eastAsia" w:ascii="仿宋_GB2312" w:hAnsi="仿宋" w:eastAsia="仿宋_GB2312"/>
          <w:sz w:val="32"/>
          <w:szCs w:val="32"/>
          <w:lang w:val="en-US" w:eastAsia="zh-CN"/>
        </w:rPr>
        <w:t>减少24.75</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的主要原因是项目资金</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drawing>
          <wp:inline distT="0" distB="0" distL="114300" distR="114300">
            <wp:extent cx="5132070" cy="1854835"/>
            <wp:effectExtent l="4445" t="4445" r="6985" b="762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20</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2038.86</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703.10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34.48</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1335.76</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65.52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114300" distR="114300">
            <wp:extent cx="4598035" cy="3132455"/>
            <wp:effectExtent l="5080" t="4445" r="6985" b="63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2096.48</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617.30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29.44</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1479.18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70.56</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114300" distR="114300">
            <wp:extent cx="4596130" cy="3061970"/>
            <wp:effectExtent l="4445" t="4445" r="9525" b="1968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703.10</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1.8</w:t>
      </w:r>
      <w:r>
        <w:rPr>
          <w:rFonts w:hint="eastAsia" w:ascii="仿宋_GB2312" w:hAnsi="仿宋" w:eastAsia="仿宋_GB2312"/>
          <w:sz w:val="32"/>
          <w:szCs w:val="32"/>
        </w:rPr>
        <w:t>%，减少的主要原因是</w:t>
      </w:r>
      <w:r>
        <w:rPr>
          <w:rFonts w:hint="eastAsia" w:ascii="仿宋_GB2312" w:hAnsi="仿宋_GB2312" w:eastAsia="仿宋_GB2312" w:cs="仿宋_GB2312"/>
          <w:kern w:val="2"/>
          <w:sz w:val="32"/>
          <w:szCs w:val="24"/>
          <w:lang w:val="en-US" w:eastAsia="zh-CN" w:bidi="ar"/>
        </w:rPr>
        <w:t>公用经费减少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drawing>
          <wp:inline distT="0" distB="0" distL="114300" distR="114300">
            <wp:extent cx="5021580" cy="2386330"/>
            <wp:effectExtent l="4445" t="4445" r="22225" b="952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703.10</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1.8</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w:t>
      </w:r>
      <w:r>
        <w:rPr>
          <w:rFonts w:hint="eastAsia" w:ascii="仿宋_GB2312" w:hAnsi="宋体" w:eastAsia="仿宋_GB2312" w:cs="仿宋_GB2312"/>
          <w:color w:val="000000"/>
          <w:kern w:val="0"/>
          <w:sz w:val="32"/>
          <w:szCs w:val="32"/>
        </w:rPr>
        <w:t>日常公用经费减少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drawing>
          <wp:inline distT="0" distB="0" distL="114300" distR="114300">
            <wp:extent cx="4968240" cy="2465705"/>
            <wp:effectExtent l="4445" t="4445" r="18415" b="63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ind w:firstLine="640" w:firstLineChars="200"/>
        <w:jc w:val="left"/>
        <w:rPr>
          <w:rFonts w:hint="eastAsia"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spacing w:line="360" w:lineRule="auto"/>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703.10</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33.54</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12.95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1.8</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rPr>
        <w:t>日常公用经费减少</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 xml:space="preserve">    </w:t>
      </w:r>
    </w:p>
    <w:p>
      <w:pPr>
        <w:spacing w:line="360" w:lineRule="auto"/>
        <w:ind w:firstLine="420" w:firstLineChars="200"/>
        <w:rPr>
          <w:rFonts w:ascii="楷体_GB2312" w:hAnsi="宋体" w:eastAsia="楷体_GB2312" w:cs="楷体_GB2312"/>
          <w:b/>
          <w:color w:val="000000"/>
          <w:kern w:val="0"/>
          <w:sz w:val="32"/>
          <w:szCs w:val="32"/>
          <w:lang w:bidi="ar"/>
        </w:rPr>
      </w:pPr>
      <w:r>
        <w:drawing>
          <wp:anchor distT="0" distB="0" distL="114300" distR="114300" simplePos="0" relativeHeight="251659264" behindDoc="0" locked="0" layoutInCell="1" allowOverlap="1">
            <wp:simplePos x="0" y="0"/>
            <wp:positionH relativeFrom="column">
              <wp:posOffset>515620</wp:posOffset>
            </wp:positionH>
            <wp:positionV relativeFrom="paragraph">
              <wp:posOffset>23495</wp:posOffset>
            </wp:positionV>
            <wp:extent cx="4572000" cy="2749550"/>
            <wp:effectExtent l="4445" t="4445" r="14605" b="8255"/>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747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703.10</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94.12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bidi="ar"/>
        </w:rPr>
        <w:t>交通运输支出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公路水路运输</w:t>
      </w:r>
      <w:r>
        <w:rPr>
          <w:rFonts w:ascii="仿宋_GB2312" w:hAnsi="宋体" w:eastAsia="仿宋_GB2312" w:cs="仿宋_GB2312"/>
          <w:b/>
          <w:color w:val="000000"/>
          <w:kern w:val="0"/>
          <w:sz w:val="32"/>
          <w:szCs w:val="32"/>
          <w:lang w:bidi="ar"/>
        </w:rPr>
        <w:t xml:space="preserve">（款）行政运行（项）。 </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ascii="仿宋_GB2312" w:hAnsi="宋体" w:eastAsia="仿宋_GB2312" w:cs="仿宋_GB2312"/>
          <w:color w:val="000000"/>
          <w:kern w:val="0"/>
          <w:sz w:val="32"/>
          <w:szCs w:val="32"/>
          <w:lang w:val="en-US" w:eastAsia="zh-CN" w:bidi="ar"/>
        </w:rPr>
        <w:t>11</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val="en-US" w:eastAsia="zh-CN" w:bidi="ar"/>
        </w:rPr>
        <w:t>.85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113.48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highlight w:val="none"/>
          <w:lang w:val="en-US" w:eastAsia="zh-CN" w:bidi="ar"/>
        </w:rPr>
        <w:t>99.7</w:t>
      </w:r>
      <w:r>
        <w:rPr>
          <w:rFonts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bidi="ar"/>
        </w:rPr>
        <w:t>工资福利支出</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2.</w:t>
      </w:r>
      <w:r>
        <w:rPr>
          <w:rFonts w:hint="eastAsia" w:ascii="仿宋_GB2312" w:hAnsi="宋体" w:eastAsia="仿宋_GB2312" w:cs="仿宋_GB2312"/>
          <w:b/>
          <w:color w:val="000000"/>
          <w:kern w:val="0"/>
          <w:sz w:val="32"/>
          <w:szCs w:val="32"/>
          <w:lang w:bidi="ar"/>
        </w:rPr>
        <w:t>交通运输支出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公路水路运输</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其他公路水路运输支出</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650.47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589.62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highlight w:val="none"/>
          <w:lang w:val="en-US" w:eastAsia="zh-CN" w:bidi="ar"/>
        </w:rPr>
        <w:t>90.65</w:t>
      </w:r>
      <w:r>
        <w:rPr>
          <w:rFonts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616.91</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602.64</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14.27</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602.64</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179.16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47.32万元，奖金48.32万元，绩效工资154.93万元，机关事业单位基本养老保险缴费69.04万元，职工基本医疗保险缴费30.88万元，住房公积金58.98万元，其他工资福利支出13.99万元</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14.27</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0.36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邮</w:t>
      </w:r>
      <w:r>
        <w:rPr>
          <w:rFonts w:hint="eastAsia" w:ascii="仿宋_GB2312" w:hAnsi="宋体" w:eastAsia="仿宋_GB2312" w:cs="仿宋_GB2312"/>
          <w:color w:val="000000"/>
          <w:kern w:val="0"/>
          <w:sz w:val="32"/>
          <w:szCs w:val="32"/>
          <w:lang w:eastAsia="zh-CN" w:bidi="ar"/>
        </w:rPr>
        <w:t>电费</w:t>
      </w:r>
      <w:r>
        <w:rPr>
          <w:rFonts w:hint="eastAsia" w:ascii="仿宋_GB2312" w:hAnsi="宋体" w:eastAsia="仿宋_GB2312" w:cs="仿宋_GB2312"/>
          <w:color w:val="000000"/>
          <w:kern w:val="0"/>
          <w:sz w:val="32"/>
          <w:szCs w:val="32"/>
          <w:lang w:val="en-US" w:eastAsia="zh-CN" w:bidi="ar"/>
        </w:rPr>
        <w:t>1.81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，公务接待费</w:t>
      </w:r>
      <w:r>
        <w:rPr>
          <w:rFonts w:hint="eastAsia" w:ascii="仿宋_GB2312" w:hAnsi="宋体" w:eastAsia="仿宋_GB2312" w:cs="仿宋_GB2312"/>
          <w:color w:val="000000"/>
          <w:kern w:val="0"/>
          <w:sz w:val="32"/>
          <w:szCs w:val="32"/>
          <w:lang w:val="en-US" w:eastAsia="zh-CN" w:bidi="ar"/>
        </w:rPr>
        <w:t>0.39</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，劳务费</w:t>
      </w:r>
      <w:r>
        <w:rPr>
          <w:rFonts w:hint="eastAsia" w:ascii="仿宋_GB2312" w:hAnsi="宋体" w:eastAsia="仿宋_GB2312" w:cs="仿宋_GB2312"/>
          <w:color w:val="000000"/>
          <w:kern w:val="0"/>
          <w:sz w:val="32"/>
          <w:szCs w:val="32"/>
          <w:lang w:val="en-US" w:eastAsia="zh-CN" w:bidi="ar"/>
        </w:rPr>
        <w:t>1.62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工会经费</w:t>
      </w:r>
      <w:r>
        <w:rPr>
          <w:rFonts w:hint="eastAsia" w:ascii="仿宋_GB2312" w:hAnsi="宋体" w:eastAsia="仿宋_GB2312" w:cs="仿宋_GB2312"/>
          <w:color w:val="000000"/>
          <w:kern w:val="0"/>
          <w:sz w:val="32"/>
          <w:szCs w:val="32"/>
          <w:lang w:val="en-US" w:eastAsia="zh-CN" w:bidi="ar"/>
        </w:rPr>
        <w:t>10.09万元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4.40</w:t>
      </w:r>
      <w:r>
        <w:rPr>
          <w:rFonts w:ascii="仿宋_GB2312" w:hAnsi="宋体" w:eastAsia="仿宋_GB2312" w:cs="仿宋_GB2312"/>
          <w:color w:val="000000"/>
          <w:kern w:val="0"/>
          <w:sz w:val="32"/>
          <w:szCs w:val="32"/>
          <w:lang w:bidi="ar"/>
        </w:rPr>
        <w:t>万元，支出</w:t>
      </w:r>
      <w:r>
        <w:rPr>
          <w:rFonts w:ascii="仿宋_GB2312" w:hAnsi="宋体" w:eastAsia="仿宋_GB2312" w:cs="仿宋_GB2312"/>
          <w:color w:val="000000"/>
          <w:kern w:val="0"/>
          <w:sz w:val="32"/>
          <w:szCs w:val="32"/>
          <w:highlight w:val="none"/>
          <w:lang w:bidi="ar"/>
        </w:rPr>
        <w:t>决算为</w:t>
      </w:r>
      <w:r>
        <w:rPr>
          <w:rFonts w:hint="eastAsia" w:ascii="仿宋_GB2312" w:hAnsi="宋体" w:eastAsia="仿宋_GB2312" w:cs="仿宋_GB2312"/>
          <w:color w:val="000000"/>
          <w:kern w:val="0"/>
          <w:sz w:val="32"/>
          <w:szCs w:val="32"/>
          <w:highlight w:val="none"/>
          <w:lang w:val="en-US" w:eastAsia="zh-CN" w:bidi="ar"/>
        </w:rPr>
        <w:t>0.39</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8.9</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4.01</w:t>
      </w:r>
      <w:r>
        <w:rPr>
          <w:rFonts w:hint="eastAsia" w:ascii="仿宋_GB2312" w:hAnsi="宋体" w:eastAsia="仿宋_GB2312" w:cs="仿宋_GB2312"/>
          <w:color w:val="000000"/>
          <w:kern w:val="0"/>
          <w:sz w:val="32"/>
          <w:szCs w:val="32"/>
          <w:highlight w:val="none"/>
          <w:lang w:bidi="ar"/>
        </w:rPr>
        <w:t>万元，</w:t>
      </w:r>
      <w:r>
        <w:rPr>
          <w:rFonts w:hint="eastAsia" w:ascii="仿宋_GB2312" w:hAnsi="仿宋_GB2312" w:eastAsia="仿宋_GB2312" w:cs="仿宋_GB2312"/>
          <w:sz w:val="32"/>
          <w:szCs w:val="32"/>
        </w:rPr>
        <w:t>严格执行“三公”经费“只减不增”</w:t>
      </w:r>
      <w:r>
        <w:rPr>
          <w:rFonts w:hint="eastAsia" w:ascii="仿宋_GB2312" w:hAnsi="仿宋_GB2312" w:eastAsia="仿宋_GB2312" w:cs="仿宋_GB2312"/>
          <w:sz w:val="32"/>
          <w:szCs w:val="32"/>
          <w:lang w:val="en-US" w:eastAsia="zh-CN"/>
        </w:rPr>
        <w:t>原则，控制“三公”支出</w:t>
      </w:r>
      <w:r>
        <w:rPr>
          <w:rFonts w:hint="eastAsia" w:ascii="仿宋_GB2312" w:hAnsi="宋体" w:eastAsia="仿宋_GB2312" w:cs="仿宋_GB2312"/>
          <w:color w:val="000000"/>
          <w:kern w:val="0"/>
          <w:sz w:val="32"/>
          <w:szCs w:val="32"/>
          <w:highlight w:val="none"/>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hint="eastAsia" w:ascii="仿宋_GB2312" w:hAnsi="宋体" w:eastAsia="仿宋_GB2312" w:cs="仿宋_GB2312"/>
          <w:color w:val="000000"/>
          <w:kern w:val="0"/>
          <w:sz w:val="32"/>
          <w:szCs w:val="32"/>
          <w:highlight w:val="none"/>
          <w:lang w:val="en-US" w:eastAsia="zh-CN" w:bidi="ar"/>
        </w:rPr>
        <w:t>2020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w:t>
      </w:r>
      <w:r>
        <w:rPr>
          <w:rFonts w:ascii="仿宋_GB2312" w:hAnsi="宋体" w:eastAsia="仿宋_GB2312" w:cs="仿宋_GB2312"/>
          <w:color w:val="000000"/>
          <w:kern w:val="0"/>
          <w:sz w:val="32"/>
          <w:szCs w:val="32"/>
          <w:highlight w:val="none"/>
          <w:lang w:bidi="ar"/>
        </w:rPr>
        <w:t>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0.39</w:t>
      </w:r>
      <w:r>
        <w:rPr>
          <w:rFonts w:ascii="仿宋_GB2312" w:hAnsi="宋体" w:eastAsia="仿宋_GB2312" w:cs="仿宋_GB2312"/>
          <w:color w:val="000000"/>
          <w:kern w:val="0"/>
          <w:sz w:val="32"/>
          <w:szCs w:val="32"/>
          <w:lang w:bidi="ar"/>
        </w:rPr>
        <w:t>万元。具体情况如下：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highlight w:val="yellow"/>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2.94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%，决</w:t>
      </w:r>
      <w:r>
        <w:rPr>
          <w:rFonts w:ascii="仿宋_GB2312" w:hAnsi="宋体" w:eastAsia="仿宋_GB2312" w:cs="仿宋_GB2312"/>
          <w:color w:val="000000"/>
          <w:kern w:val="0"/>
          <w:sz w:val="32"/>
          <w:szCs w:val="32"/>
          <w:highlight w:val="none"/>
          <w:lang w:bidi="ar"/>
        </w:rPr>
        <w:t>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2.94</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仿宋_GB2312" w:eastAsia="仿宋_GB2312" w:cs="仿宋_GB2312"/>
          <w:sz w:val="32"/>
          <w:szCs w:val="32"/>
          <w:highlight w:val="none"/>
        </w:rPr>
        <w:t>严格执行“三公”经费“只减不增”</w:t>
      </w:r>
      <w:r>
        <w:rPr>
          <w:rFonts w:hint="eastAsia" w:ascii="仿宋_GB2312" w:hAnsi="仿宋_GB2312" w:eastAsia="仿宋_GB2312" w:cs="仿宋_GB2312"/>
          <w:sz w:val="32"/>
          <w:szCs w:val="32"/>
          <w:highlight w:val="none"/>
          <w:lang w:val="en-US" w:eastAsia="zh-CN"/>
        </w:rPr>
        <w:t>原则，压缩车辆运行费</w:t>
      </w:r>
      <w:r>
        <w:rPr>
          <w:rFonts w:hint="eastAsia" w:ascii="仿宋_GB2312" w:hAnsi="宋体" w:eastAsia="仿宋_GB2312" w:cs="仿宋_GB2312"/>
          <w:color w:val="000000"/>
          <w:kern w:val="0"/>
          <w:sz w:val="32"/>
          <w:szCs w:val="32"/>
          <w:highlight w:val="none"/>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1.46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0.39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26.7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1.07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rPr>
        <w:t>控制接待次数、</w:t>
      </w:r>
      <w:r>
        <w:rPr>
          <w:rFonts w:hint="eastAsia" w:ascii="仿宋_GB2312" w:hAnsi="仿宋_GB2312" w:eastAsia="仿宋_GB2312" w:cs="仿宋_GB2312"/>
          <w:sz w:val="32"/>
          <w:szCs w:val="32"/>
          <w:lang w:val="en-US" w:eastAsia="zh-CN"/>
        </w:rPr>
        <w:t>陪餐</w:t>
      </w:r>
      <w:r>
        <w:rPr>
          <w:rFonts w:hint="eastAsia" w:ascii="仿宋_GB2312" w:hAnsi="仿宋_GB2312" w:eastAsia="仿宋_GB2312" w:cs="仿宋_GB2312"/>
          <w:sz w:val="32"/>
          <w:szCs w:val="32"/>
        </w:rPr>
        <w:t>人数</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w:t>
      </w:r>
      <w:r>
        <w:rPr>
          <w:rFonts w:hint="eastAsia" w:ascii="黑体" w:hAnsi="黑体" w:eastAsia="黑体"/>
          <w:color w:val="000000"/>
          <w:kern w:val="0"/>
          <w:sz w:val="32"/>
          <w:szCs w:val="32"/>
          <w:lang w:bidi="ar"/>
        </w:rPr>
        <w:t>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lang w:val="en-US" w:eastAsia="zh-CN"/>
        </w:rPr>
        <w:t>机关运行经费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12.8</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14.27</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111</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增加</w:t>
      </w:r>
      <w:r>
        <w:rPr>
          <w:rFonts w:hint="eastAsia" w:ascii="仿宋_GB2312" w:hAnsi="宋体" w:eastAsia="仿宋_GB2312" w:cs="仿宋_GB2312"/>
          <w:color w:val="000000"/>
          <w:kern w:val="0"/>
          <w:sz w:val="32"/>
          <w:szCs w:val="32"/>
          <w:highlight w:val="none"/>
          <w:lang w:val="en-US" w:eastAsia="zh-CN" w:bidi="ar"/>
        </w:rPr>
        <w:t>1.47</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仿宋" w:eastAsia="仿宋_GB2312"/>
          <w:sz w:val="32"/>
          <w:szCs w:val="32"/>
          <w:highlight w:val="none"/>
        </w:rPr>
        <w:t>商品和服务支出</w:t>
      </w:r>
      <w:r>
        <w:rPr>
          <w:rFonts w:hint="eastAsia" w:ascii="仿宋_GB2312" w:hAnsi="宋体" w:eastAsia="仿宋_GB2312" w:cs="仿宋_GB2312"/>
          <w:color w:val="000000"/>
          <w:kern w:val="0"/>
          <w:sz w:val="32"/>
          <w:szCs w:val="32"/>
          <w:highlight w:val="none"/>
          <w:lang w:bidi="ar"/>
        </w:rPr>
        <w:t>增加</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rPr>
          <w:rFonts w:hint="eastAsia" w:ascii="黑体" w:hAnsi="黑体" w:eastAsia="黑体"/>
          <w:color w:val="000000"/>
          <w:kern w:val="0"/>
          <w:sz w:val="32"/>
          <w:szCs w:val="32"/>
          <w:lang w:val="en-US" w:eastAsia="zh-CN" w:bidi="ar"/>
        </w:rPr>
      </w:pPr>
      <w:r>
        <w:rPr>
          <w:rFonts w:hint="eastAsia" w:ascii="黑体" w:hAnsi="黑体" w:eastAsia="黑体"/>
          <w:color w:val="000000"/>
          <w:kern w:val="0"/>
          <w:sz w:val="32"/>
          <w:szCs w:val="32"/>
          <w:lang w:val="en-US" w:eastAsia="zh-CN" w:bidi="ar"/>
        </w:rPr>
        <w:t xml:space="preserve">十一、政府采购支出情况说明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年一般公共预算项目支出全面开展绩效自评，一级项目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w:t>
      </w:r>
      <w:r>
        <w:rPr>
          <w:rFonts w:ascii="仿宋_GB2312" w:hAnsi="仿宋_GB2312" w:eastAsia="仿宋_GB2312" w:cs="仿宋_GB2312"/>
          <w:spacing w:val="-6"/>
          <w:sz w:val="32"/>
          <w:szCs w:val="32"/>
          <w:highlight w:val="none"/>
        </w:rPr>
        <w:t>共涉及资金</w:t>
      </w:r>
      <w:r>
        <w:rPr>
          <w:rFonts w:hint="eastAsia" w:ascii="仿宋_GB2312" w:hAnsi="仿宋_GB2312" w:eastAsia="仿宋_GB2312" w:cs="仿宋_GB2312"/>
          <w:spacing w:val="-6"/>
          <w:sz w:val="32"/>
          <w:szCs w:val="32"/>
          <w:highlight w:val="none"/>
          <w:lang w:val="en-US" w:eastAsia="zh-CN"/>
        </w:rPr>
        <w:t>86.19</w:t>
      </w:r>
      <w:r>
        <w:rPr>
          <w:rFonts w:ascii="仿宋_GB2312" w:hAnsi="仿宋_GB2312" w:eastAsia="仿宋_GB2312" w:cs="仿宋_GB2312"/>
          <w:spacing w:val="-6"/>
          <w:sz w:val="32"/>
          <w:szCs w:val="32"/>
          <w:highlight w:val="none"/>
        </w:rPr>
        <w:t>万元，占一般公共预算项目支出总额</w:t>
      </w:r>
      <w:r>
        <w:rPr>
          <w:rFonts w:hint="eastAsia" w:ascii="仿宋_GB2312" w:hAnsi="仿宋_GB2312" w:eastAsia="仿宋_GB2312" w:cs="仿宋_GB2312"/>
          <w:spacing w:val="-6"/>
          <w:sz w:val="32"/>
          <w:szCs w:val="32"/>
          <w:highlight w:val="none"/>
          <w:lang w:val="en-US" w:eastAsia="zh-CN"/>
        </w:rPr>
        <w:t>的100</w:t>
      </w:r>
      <w:bookmarkStart w:id="0" w:name="_GoBack"/>
      <w:bookmarkEnd w:id="0"/>
      <w:r>
        <w:rPr>
          <w:rFonts w:ascii="仿宋_GB2312" w:hAnsi="仿宋_GB2312" w:eastAsia="仿宋_GB2312" w:cs="仿宋_GB2312"/>
          <w:spacing w:val="-6"/>
          <w:sz w:val="32"/>
          <w:szCs w:val="32"/>
          <w:highlight w:val="none"/>
        </w:rPr>
        <w:t>%</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lang w:bidi="ar"/>
        </w:rPr>
        <w:t xml:space="preserve">组织对 </w:t>
      </w:r>
      <w:r>
        <w:rPr>
          <w:rFonts w:hint="eastAsia" w:ascii="仿宋_GB2312" w:hAnsi="仿宋_GB2312" w:eastAsia="仿宋_GB2312" w:cs="仿宋_GB2312"/>
          <w:color w:val="000000"/>
          <w:kern w:val="0"/>
          <w:sz w:val="31"/>
          <w:szCs w:val="31"/>
          <w:highlight w:val="none"/>
          <w:lang w:val="en-US" w:eastAsia="zh-CN" w:bidi="ar"/>
        </w:rPr>
        <w:t>2020</w:t>
      </w:r>
      <w:r>
        <w:rPr>
          <w:rFonts w:ascii="仿宋_GB2312" w:hAnsi="仿宋_GB2312" w:eastAsia="仿宋_GB2312" w:cs="仿宋_GB2312"/>
          <w:color w:val="000000"/>
          <w:kern w:val="0"/>
          <w:sz w:val="31"/>
          <w:szCs w:val="31"/>
          <w:lang w:bidi="ar"/>
        </w:rPr>
        <w:t>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楷体" w:hAnsi="楷体" w:eastAsia="楷体" w:cs="楷体"/>
          <w:sz w:val="32"/>
          <w:szCs w:val="32"/>
        </w:rPr>
      </w:pPr>
      <w:r>
        <w:rPr>
          <w:rFonts w:ascii="仿宋_GB2312" w:hAnsi="仿宋_GB2312" w:eastAsia="仿宋_GB2312" w:cs="仿宋_GB2312"/>
          <w:color w:val="000000"/>
          <w:kern w:val="0"/>
          <w:sz w:val="31"/>
          <w:szCs w:val="31"/>
          <w:lang w:bidi="ar"/>
        </w:rPr>
        <w:t xml:space="preserve"> </w:t>
      </w:r>
      <w:r>
        <w:rPr>
          <w:rFonts w:hint="eastAsia" w:ascii="仿宋_GB2312" w:hAnsi="仿宋_GB2312" w:eastAsia="仿宋_GB2312" w:cs="仿宋_GB2312"/>
          <w:color w:val="000000"/>
          <w:kern w:val="0"/>
          <w:sz w:val="31"/>
          <w:szCs w:val="31"/>
          <w:lang w:bidi="ar"/>
        </w:rPr>
        <w:t>农村公路养护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highlight w:val="none"/>
          <w:lang w:val="en-US" w:eastAsia="zh-CN" w:bidi="ar"/>
        </w:rPr>
        <w:t>84</w:t>
      </w:r>
      <w:r>
        <w:rPr>
          <w:rFonts w:ascii="仿宋_GB2312" w:hAnsi="仿宋_GB2312" w:eastAsia="仿宋_GB2312" w:cs="仿宋_GB2312"/>
          <w:color w:val="000000"/>
          <w:kern w:val="0"/>
          <w:sz w:val="31"/>
          <w:szCs w:val="31"/>
          <w:highlight w:val="none"/>
          <w:lang w:bidi="ar"/>
        </w:rPr>
        <w:t>分。</w:t>
      </w:r>
      <w:r>
        <w:rPr>
          <w:rFonts w:ascii="仿宋_GB2312" w:hAnsi="仿宋_GB2312" w:eastAsia="仿宋_GB2312" w:cs="仿宋_GB2312"/>
          <w:color w:val="000000"/>
          <w:kern w:val="0"/>
          <w:sz w:val="31"/>
          <w:szCs w:val="31"/>
          <w:lang w:bidi="ar"/>
        </w:rPr>
        <w:t>项目全年预算数</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highlight w:val="none"/>
          <w:lang w:val="en-US" w:eastAsia="zh-CN" w:bidi="ar"/>
        </w:rPr>
        <w:t>86.19</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86.19</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val="en-US" w:eastAsia="zh-CN" w:bidi="ar"/>
        </w:rPr>
        <w:t>农村公路养护和安全生命防护项目，</w:t>
      </w:r>
      <w:r>
        <w:rPr>
          <w:rFonts w:hint="eastAsia" w:ascii="仿宋_GB2312" w:hAnsi="仿宋_GB2312" w:eastAsia="仿宋_GB2312" w:cs="仿宋_GB2312"/>
          <w:color w:val="000000"/>
          <w:kern w:val="0"/>
          <w:sz w:val="31"/>
          <w:szCs w:val="31"/>
          <w:lang w:bidi="ar"/>
        </w:rPr>
        <w:t>积极开展修复性养护</w:t>
      </w:r>
      <w:r>
        <w:rPr>
          <w:rFonts w:hint="eastAsia" w:ascii="仿宋_GB2312" w:hAnsi="仿宋_GB2312" w:eastAsia="仿宋_GB2312" w:cs="仿宋_GB2312"/>
          <w:color w:val="000000"/>
          <w:kern w:val="0"/>
          <w:sz w:val="31"/>
          <w:szCs w:val="31"/>
          <w:lang w:val="en-US" w:eastAsia="zh-CN" w:bidi="ar"/>
        </w:rPr>
        <w:t>和道路安全隐患排查解决</w:t>
      </w:r>
      <w:r>
        <w:rPr>
          <w:rFonts w:hint="eastAsia" w:ascii="仿宋_GB2312" w:hAnsi="仿宋_GB2312" w:eastAsia="仿宋_GB2312" w:cs="仿宋_GB2312"/>
          <w:color w:val="000000"/>
          <w:kern w:val="0"/>
          <w:sz w:val="31"/>
          <w:szCs w:val="31"/>
          <w:lang w:bidi="ar"/>
        </w:rPr>
        <w:t>，全年维修沥青路面1455.3平方米，水泥路面1230平方米。这项工作的实施，很好的保障了道路的通行能力，有效减少公路安全隐患，服务了群众的生产生活</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2、通过交通安全劝导专项及超限站专项经费，</w:t>
      </w:r>
      <w:r>
        <w:rPr>
          <w:rFonts w:hint="eastAsia" w:ascii="仿宋_GB2312" w:hAnsi="仿宋_GB2312" w:eastAsia="仿宋_GB2312" w:cs="仿宋_GB2312"/>
          <w:color w:val="000000"/>
          <w:kern w:val="0"/>
          <w:sz w:val="31"/>
          <w:szCs w:val="31"/>
          <w:highlight w:val="none"/>
          <w:lang w:val="en-US" w:eastAsia="zh-CN" w:bidi="ar"/>
        </w:rPr>
        <w:t>解决</w:t>
      </w:r>
      <w:r>
        <w:rPr>
          <w:rFonts w:hint="eastAsia" w:ascii="仿宋_GB2312" w:hAnsi="仿宋_GB2312" w:eastAsia="仿宋_GB2312" w:cs="仿宋_GB2312"/>
          <w:color w:val="000000"/>
          <w:kern w:val="0"/>
          <w:sz w:val="31"/>
          <w:szCs w:val="31"/>
          <w:highlight w:val="none"/>
          <w:lang w:bidi="ar"/>
        </w:rPr>
        <w:t>发放</w:t>
      </w:r>
      <w:r>
        <w:rPr>
          <w:rFonts w:hint="eastAsia" w:ascii="仿宋_GB2312" w:hAnsi="仿宋_GB2312" w:eastAsia="仿宋_GB2312" w:cs="仿宋_GB2312"/>
          <w:color w:val="000000"/>
          <w:kern w:val="0"/>
          <w:sz w:val="31"/>
          <w:szCs w:val="31"/>
          <w:highlight w:val="none"/>
          <w:lang w:val="en-US" w:eastAsia="zh-CN" w:bidi="ar"/>
        </w:rPr>
        <w:t>了</w:t>
      </w:r>
      <w:r>
        <w:rPr>
          <w:rFonts w:hint="eastAsia" w:ascii="仿宋_GB2312" w:hAnsi="仿宋_GB2312" w:eastAsia="仿宋_GB2312" w:cs="仿宋_GB2312"/>
          <w:color w:val="000000"/>
          <w:kern w:val="0"/>
          <w:sz w:val="31"/>
          <w:szCs w:val="31"/>
          <w:highlight w:val="none"/>
          <w:lang w:bidi="ar"/>
        </w:rPr>
        <w:t>劝导员补贴</w:t>
      </w:r>
      <w:r>
        <w:rPr>
          <w:rFonts w:hint="eastAsia" w:ascii="仿宋_GB2312" w:hAnsi="仿宋_GB2312" w:eastAsia="仿宋_GB2312" w:cs="仿宋_GB2312"/>
          <w:color w:val="000000"/>
          <w:kern w:val="0"/>
          <w:sz w:val="31"/>
          <w:szCs w:val="31"/>
          <w:highlight w:val="none"/>
          <w:lang w:val="en-US" w:eastAsia="zh-CN" w:bidi="ar"/>
        </w:rPr>
        <w:t>16.1</w:t>
      </w:r>
      <w:r>
        <w:rPr>
          <w:rFonts w:hint="eastAsia" w:ascii="仿宋_GB2312" w:hAnsi="仿宋_GB2312" w:eastAsia="仿宋_GB2312" w:cs="仿宋_GB2312"/>
          <w:color w:val="000000"/>
          <w:kern w:val="0"/>
          <w:sz w:val="31"/>
          <w:szCs w:val="31"/>
          <w:highlight w:val="none"/>
          <w:lang w:bidi="ar"/>
        </w:rPr>
        <w:t>万元，交安委安全宣传</w:t>
      </w:r>
      <w:r>
        <w:rPr>
          <w:rFonts w:hint="eastAsia" w:ascii="仿宋_GB2312" w:hAnsi="仿宋_GB2312" w:eastAsia="仿宋_GB2312" w:cs="仿宋_GB2312"/>
          <w:color w:val="000000"/>
          <w:kern w:val="0"/>
          <w:sz w:val="31"/>
          <w:szCs w:val="31"/>
          <w:highlight w:val="none"/>
          <w:lang w:val="en-US" w:eastAsia="zh-CN" w:bidi="ar"/>
        </w:rPr>
        <w:t>2.8万元，交安委</w:t>
      </w:r>
      <w:r>
        <w:rPr>
          <w:rFonts w:hint="eastAsia" w:ascii="仿宋_GB2312" w:hAnsi="仿宋_GB2312" w:eastAsia="仿宋_GB2312" w:cs="仿宋_GB2312"/>
          <w:color w:val="000000"/>
          <w:kern w:val="0"/>
          <w:sz w:val="31"/>
          <w:szCs w:val="31"/>
          <w:highlight w:val="none"/>
          <w:lang w:bidi="ar"/>
        </w:rPr>
        <w:t>日常</w:t>
      </w:r>
      <w:r>
        <w:rPr>
          <w:rFonts w:hint="eastAsia" w:ascii="仿宋_GB2312" w:hAnsi="仿宋_GB2312" w:eastAsia="仿宋_GB2312" w:cs="仿宋_GB2312"/>
          <w:color w:val="000000"/>
          <w:kern w:val="0"/>
          <w:sz w:val="31"/>
          <w:szCs w:val="31"/>
          <w:highlight w:val="none"/>
          <w:lang w:val="en-US" w:eastAsia="zh-CN" w:bidi="ar"/>
        </w:rPr>
        <w:t>运转</w:t>
      </w:r>
      <w:r>
        <w:rPr>
          <w:rFonts w:hint="eastAsia" w:ascii="仿宋_GB2312" w:hAnsi="仿宋_GB2312" w:eastAsia="仿宋_GB2312" w:cs="仿宋_GB2312"/>
          <w:color w:val="000000"/>
          <w:kern w:val="0"/>
          <w:sz w:val="31"/>
          <w:szCs w:val="31"/>
          <w:highlight w:val="none"/>
          <w:lang w:bidi="ar"/>
        </w:rPr>
        <w:t>经费</w:t>
      </w:r>
      <w:r>
        <w:rPr>
          <w:rFonts w:hint="eastAsia" w:ascii="仿宋_GB2312" w:hAnsi="仿宋_GB2312" w:eastAsia="仿宋_GB2312" w:cs="仿宋_GB2312"/>
          <w:color w:val="000000"/>
          <w:kern w:val="0"/>
          <w:sz w:val="31"/>
          <w:szCs w:val="31"/>
          <w:highlight w:val="none"/>
          <w:lang w:val="en-US" w:eastAsia="zh-CN" w:bidi="ar"/>
        </w:rPr>
        <w:t>1.1万</w:t>
      </w:r>
      <w:r>
        <w:rPr>
          <w:rFonts w:hint="eastAsia" w:ascii="仿宋_GB2312" w:hAnsi="仿宋_GB2312" w:eastAsia="仿宋_GB2312" w:cs="仿宋_GB2312"/>
          <w:color w:val="000000"/>
          <w:kern w:val="0"/>
          <w:sz w:val="31"/>
          <w:szCs w:val="31"/>
          <w:highlight w:val="none"/>
          <w:lang w:bidi="ar"/>
        </w:rPr>
        <w:t>元，</w:t>
      </w:r>
      <w:r>
        <w:rPr>
          <w:rFonts w:hint="eastAsia" w:ascii="仿宋_GB2312" w:hAnsi="仿宋_GB2312" w:eastAsia="仿宋_GB2312" w:cs="仿宋_GB2312"/>
          <w:color w:val="000000"/>
          <w:kern w:val="0"/>
          <w:sz w:val="31"/>
          <w:szCs w:val="31"/>
          <w:lang w:val="en-US" w:eastAsia="zh-CN" w:bidi="ar"/>
        </w:rPr>
        <w:t>有效保障了交安委的正常运转及劝导员工资的及时发放。</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个别项目手续办理较慢，预算</w:t>
      </w:r>
      <w:r>
        <w:rPr>
          <w:rFonts w:ascii="仿宋_GB2312" w:hAnsi="仿宋_GB2312" w:eastAsia="仿宋_GB2312" w:cs="仿宋_GB2312"/>
          <w:color w:val="000000"/>
          <w:kern w:val="0"/>
          <w:sz w:val="31"/>
          <w:szCs w:val="31"/>
          <w:lang w:bidi="ar"/>
        </w:rPr>
        <w:t>执行数</w:t>
      </w:r>
      <w:r>
        <w:rPr>
          <w:rFonts w:hint="eastAsia" w:ascii="仿宋_GB2312" w:hAnsi="仿宋_GB2312" w:eastAsia="仿宋_GB2312" w:cs="仿宋_GB2312"/>
          <w:color w:val="000000"/>
          <w:kern w:val="0"/>
          <w:sz w:val="31"/>
          <w:szCs w:val="31"/>
          <w:lang w:val="en-US" w:eastAsia="zh-CN" w:bidi="ar"/>
        </w:rPr>
        <w:t>未达到百分之百，预算未能发挥最大效用</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val="en-US" w:eastAsia="zh-CN" w:bidi="ar"/>
        </w:rPr>
        <w:t>督促相关业务口及时办理项目结算验收等工作，及时进行资金拨付，最大程度发挥预算效用</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785" w:right="1588" w:bottom="2098" w:left="1474"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5" o:spt="75" type="#_x0000_t75" style="height:669.15pt;width:462.75pt;" o:ole="t" filled="f" o:preferrelative="t" stroked="f" coordsize="21600,21600">
            <v:path/>
            <v:fill on="f" focussize="0,0"/>
            <v:stroke on="f"/>
            <v:imagedata r:id="rId20" o:title=""/>
            <o:lock v:ext="edit" aspectratio="t"/>
            <w10:wrap type="none"/>
            <w10:anchorlock/>
          </v:shape>
          <o:OLEObject Type="Embed" ProgID="Excel.Sheet.8" ShapeID="_x0000_i1025" DrawAspect="Content" ObjectID="_1468075725" r:id="rId19">
            <o:LockedField>false</o:LockedField>
          </o:OLEObject>
        </w:object>
      </w:r>
      <w:r>
        <w:rPr>
          <w:rFonts w:hint="eastAsia" w:ascii="楷体" w:hAnsi="楷体" w:eastAsia="楷体" w:cs="楷体"/>
          <w:sz w:val="32"/>
          <w:szCs w:val="32"/>
        </w:rPr>
        <w:object>
          <v:shape id="_x0000_i1026" o:spt="75" type="#_x0000_t75" style="height:638.15pt;width:462.75pt;" o:ole="t" filled="f" o:preferrelative="t" stroked="f" coordsize="21600,21600">
            <v:path/>
            <v:fill on="f" focussize="0,0"/>
            <v:stroke on="f"/>
            <v:imagedata r:id="rId22" o:title=""/>
            <o:lock v:ext="edit" aspectratio="t"/>
            <w10:wrap type="none"/>
            <w10:anchorlock/>
          </v:shape>
          <o:OLEObject Type="Embed" ProgID="Excel.Sheet.8" ShapeID="_x0000_i1026" DrawAspect="Content" ObjectID="_1468075726" r:id="rId21">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93.15pt;width:631.5pt;" o:ole="t" filled="f" o:preferrelative="t" stroked="f" coordsize="21600,21600">
            <v:path/>
            <v:fill on="f" focussize="0,0"/>
            <v:stroke on="f"/>
            <v:imagedata r:id="rId24" o:title=""/>
            <o:lock v:ext="edit" aspectratio="t"/>
            <w10:wrap type="none"/>
            <w10:anchorlock/>
          </v:shape>
          <o:OLEObject Type="Embed" ProgID="Excel.Sheet.8" ShapeID="_x0000_i1027" DrawAspect="Content" ObjectID="_1468075727" r:id="rId23">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87.1pt;width:647.4pt;" o:ole="t" filled="f" o:preferrelative="t" stroked="f" coordsize="21600,21600">
            <v:path/>
            <v:fill on="f" focussize="0,0"/>
            <v:stroke on="f"/>
            <v:imagedata r:id="rId26" o:title=""/>
            <o:lock v:ext="edit" aspectratio="t"/>
            <w10:wrap type="none"/>
            <w10:anchorlock/>
          </v:shape>
          <o:OLEObject Type="Embed" ProgID="Excel.Sheet.8" ShapeID="_x0000_i1028" DrawAspect="Content" ObjectID="_1468075728" r:id="rId2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9" o:spt="75" type="#_x0000_t75" style="height:339pt;width:645pt;" o:ole="t" filled="f" o:preferrelative="t" stroked="f" coordsize="21600,21600">
            <v:path/>
            <v:fill on="f" focussize="0,0"/>
            <v:stroke on="f"/>
            <v:imagedata r:id="rId28" o:title=""/>
            <o:lock v:ext="edit" aspectratio="t"/>
            <w10:wrap type="none"/>
            <w10:anchorlock/>
          </v:shape>
          <o:OLEObject Type="Embed" ProgID="Excel.Sheet.8" ShapeID="_x0000_i1029" DrawAspect="Content" ObjectID="_1468075729" r:id="rId27">
            <o:LockedField>false</o:LockedField>
          </o:OLEObject>
        </w:objec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spacing w:before="156" w:beforeLines="50" w:after="156" w:afterLines="50" w:line="560" w:lineRule="exact"/>
      </w:pP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18D9C"/>
    <w:multiLevelType w:val="singleLevel"/>
    <w:tmpl w:val="5D318D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67C83"/>
    <w:rsid w:val="0913410F"/>
    <w:rsid w:val="0BE220D0"/>
    <w:rsid w:val="18B2626B"/>
    <w:rsid w:val="1A5C008C"/>
    <w:rsid w:val="1B71405D"/>
    <w:rsid w:val="22964A64"/>
    <w:rsid w:val="281346FC"/>
    <w:rsid w:val="29454425"/>
    <w:rsid w:val="49252557"/>
    <w:rsid w:val="496D4F84"/>
    <w:rsid w:val="4E3D5074"/>
    <w:rsid w:val="53266569"/>
    <w:rsid w:val="54A87104"/>
    <w:rsid w:val="5EF05DF7"/>
    <w:rsid w:val="5FA67796"/>
    <w:rsid w:val="64094109"/>
    <w:rsid w:val="6C4463A6"/>
    <w:rsid w:val="6D976B61"/>
    <w:rsid w:val="72F3484F"/>
    <w:rsid w:val="7B897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5.emf"/><Relationship Id="rId27" Type="http://schemas.openxmlformats.org/officeDocument/2006/relationships/oleObject" Target="embeddings/oleObject5.bin"/><Relationship Id="rId26" Type="http://schemas.openxmlformats.org/officeDocument/2006/relationships/image" Target="media/image4.emf"/><Relationship Id="rId25" Type="http://schemas.openxmlformats.org/officeDocument/2006/relationships/oleObject" Target="embeddings/oleObject4.bin"/><Relationship Id="rId24" Type="http://schemas.openxmlformats.org/officeDocument/2006/relationships/image" Target="media/image3.e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人员情况表</a:t>
            </a:r>
          </a:p>
        </c:rich>
      </c:tx>
      <c:layout>
        <c:manualLayout>
          <c:xMode val="edge"/>
          <c:yMode val="edge"/>
          <c:x val="0.416527777777778"/>
          <c:y val="0.03125"/>
        </c:manualLayout>
      </c:layout>
      <c:overlay val="0"/>
      <c:spPr>
        <a:noFill/>
        <a:ln>
          <a:noFill/>
        </a:ln>
        <a:effectLst/>
      </c:spPr>
    </c:title>
    <c:autoTitleDeleted val="0"/>
    <c:plotArea>
      <c:layout/>
      <c:barChart>
        <c:barDir val="col"/>
        <c:grouping val="clustered"/>
        <c:varyColors val="0"/>
        <c:ser>
          <c:idx val="0"/>
          <c:order val="0"/>
          <c:tx>
            <c:strRef>
              <c:f>[工作簿1]Sheet1!$G$18</c:f>
              <c:strCache>
                <c:ptCount val="1"/>
                <c:pt idx="0">
                  <c:v>编制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[工作簿1]Sheet1!$H$17:$I$17</c:f>
              <c:strCache>
                <c:ptCount val="2"/>
                <c:pt idx="0">
                  <c:v>行政</c:v>
                </c:pt>
                <c:pt idx="1">
                  <c:v>事业</c:v>
                </c:pt>
              </c:strCache>
            </c:strRef>
          </c:cat>
          <c:val>
            <c:numRef>
              <c:f>[工作簿1]Sheet1!$H$18:$I$18</c:f>
              <c:numCache>
                <c:formatCode>General</c:formatCode>
                <c:ptCount val="2"/>
                <c:pt idx="0">
                  <c:v>5</c:v>
                </c:pt>
                <c:pt idx="1">
                  <c:v>7</c:v>
                </c:pt>
              </c:numCache>
            </c:numRef>
          </c:val>
        </c:ser>
        <c:ser>
          <c:idx val="1"/>
          <c:order val="1"/>
          <c:tx>
            <c:strRef>
              <c:f>[工作簿1]Sheet1!$G$19</c:f>
              <c:strCache>
                <c:ptCount val="1"/>
                <c:pt idx="0">
                  <c:v>实有</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[工作簿1]Sheet1!$H$17:$I$17</c:f>
              <c:strCache>
                <c:ptCount val="2"/>
                <c:pt idx="0">
                  <c:v>行政</c:v>
                </c:pt>
                <c:pt idx="1">
                  <c:v>事业</c:v>
                </c:pt>
              </c:strCache>
            </c:strRef>
          </c:cat>
          <c:val>
            <c:numRef>
              <c:f>[工作簿1]Sheet1!$H$19:$I$19</c:f>
              <c:numCache>
                <c:formatCode>General</c:formatCode>
                <c:ptCount val="2"/>
                <c:pt idx="0">
                  <c:v>54</c:v>
                </c:pt>
                <c:pt idx="1">
                  <c:v>39</c:v>
                </c:pt>
              </c:numCache>
            </c:numRef>
          </c:val>
        </c:ser>
        <c:dLbls>
          <c:showLegendKey val="0"/>
          <c:showVal val="1"/>
          <c:showCatName val="0"/>
          <c:showSerName val="0"/>
          <c:showPercent val="0"/>
          <c:showBubbleSize val="0"/>
        </c:dLbls>
        <c:gapWidth val="219"/>
        <c:overlap val="-27"/>
        <c:axId val="975089219"/>
        <c:axId val="412669407"/>
      </c:barChart>
      <c:catAx>
        <c:axId val="9750892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669407"/>
        <c:crosses val="autoZero"/>
        <c:auto val="1"/>
        <c:lblAlgn val="ctr"/>
        <c:lblOffset val="100"/>
        <c:noMultiLvlLbl val="0"/>
      </c:catAx>
      <c:valAx>
        <c:axId val="412669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0892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收入决算总体情况</a:t>
            </a:r>
          </a:p>
        </c:rich>
      </c:tx>
      <c:layout>
        <c:manualLayout>
          <c:xMode val="edge"/>
          <c:yMode val="edge"/>
          <c:x val="0.373893849206349"/>
          <c:y val="0.0306865947533678"/>
        </c:manualLayout>
      </c:layout>
      <c:overlay val="0"/>
      <c:spPr>
        <a:noFill/>
        <a:ln>
          <a:noFill/>
        </a:ln>
        <a:effectLst/>
      </c:spPr>
    </c:title>
    <c:autoTitleDeleted val="0"/>
    <c:plotArea>
      <c:layout>
        <c:manualLayout>
          <c:layoutTarget val="inner"/>
          <c:xMode val="edge"/>
          <c:yMode val="edge"/>
          <c:x val="0.136055555555556"/>
          <c:y val="0.22037037037037"/>
          <c:w val="0.798388888888889"/>
          <c:h val="0.711666666666667"/>
        </c:manualLayout>
      </c:layout>
      <c:barChart>
        <c:barDir val="bar"/>
        <c:grouping val="clustered"/>
        <c:varyColors val="0"/>
        <c:ser>
          <c:idx val="0"/>
          <c:order val="0"/>
          <c:spPr>
            <a:solidFill>
              <a:schemeClr val="accent1"/>
            </a:solidFill>
            <a:ln>
              <a:noFill/>
            </a:ln>
            <a:effectLst/>
          </c:spPr>
          <c:invertIfNegative val="0"/>
          <c:dLbls>
            <c:delete val="1"/>
          </c:dLbls>
          <c:cat>
            <c:strRef>
              <c:f>[工作簿1]Sheet1!$G$32:$G$33</c:f>
              <c:strCache>
                <c:ptCount val="2"/>
                <c:pt idx="0">
                  <c:v>2019年收入</c:v>
                </c:pt>
                <c:pt idx="1">
                  <c:v>2020年收入</c:v>
                </c:pt>
              </c:strCache>
            </c:strRef>
          </c:cat>
          <c:val>
            <c:numRef>
              <c:f>[工作簿1]Sheet1!$H$32:$H$33</c:f>
              <c:numCache>
                <c:formatCode>General</c:formatCode>
                <c:ptCount val="2"/>
                <c:pt idx="0">
                  <c:v>2856.19</c:v>
                </c:pt>
                <c:pt idx="1">
                  <c:v>2038.86</c:v>
                </c:pt>
              </c:numCache>
            </c:numRef>
          </c:val>
        </c:ser>
        <c:dLbls>
          <c:showLegendKey val="0"/>
          <c:showVal val="0"/>
          <c:showCatName val="0"/>
          <c:showSerName val="0"/>
          <c:showPercent val="0"/>
          <c:showBubbleSize val="0"/>
        </c:dLbls>
        <c:gapWidth val="182"/>
        <c:overlap val="0"/>
        <c:axId val="719533811"/>
        <c:axId val="53405770"/>
      </c:barChart>
      <c:catAx>
        <c:axId val="71953381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05770"/>
        <c:crosses val="autoZero"/>
        <c:auto val="1"/>
        <c:lblAlgn val="ctr"/>
        <c:lblOffset val="100"/>
        <c:noMultiLvlLbl val="0"/>
      </c:catAx>
      <c:valAx>
        <c:axId val="5340577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5338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支出决算总体情况</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[工作簿1]Sheet1!$G$40:$G$41</c:f>
              <c:strCache>
                <c:ptCount val="2"/>
                <c:pt idx="0">
                  <c:v>2019年支出</c:v>
                </c:pt>
                <c:pt idx="1">
                  <c:v>2020年支出</c:v>
                </c:pt>
              </c:strCache>
            </c:strRef>
          </c:cat>
          <c:val>
            <c:numRef>
              <c:f>[工作簿1]Sheet1!$H$40:$H$41</c:f>
              <c:numCache>
                <c:formatCode>General</c:formatCode>
                <c:ptCount val="2"/>
                <c:pt idx="0">
                  <c:v>2785.86</c:v>
                </c:pt>
                <c:pt idx="1">
                  <c:v>2096.48</c:v>
                </c:pt>
              </c:numCache>
            </c:numRef>
          </c:val>
        </c:ser>
        <c:dLbls>
          <c:showLegendKey val="0"/>
          <c:showVal val="0"/>
          <c:showCatName val="0"/>
          <c:showSerName val="0"/>
          <c:showPercent val="0"/>
          <c:showBubbleSize val="0"/>
        </c:dLbls>
        <c:gapWidth val="182"/>
        <c:overlap val="0"/>
        <c:axId val="356142759"/>
        <c:axId val="234060669"/>
      </c:barChart>
      <c:catAx>
        <c:axId val="35614275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60669"/>
        <c:crosses val="autoZero"/>
        <c:auto val="1"/>
        <c:lblAlgn val="ctr"/>
        <c:lblOffset val="100"/>
        <c:noMultiLvlLbl val="0"/>
      </c:catAx>
      <c:valAx>
        <c:axId val="23406066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142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收入决算情况表</a:t>
            </a:r>
          </a:p>
        </c:rich>
      </c:tx>
      <c:layout>
        <c:manualLayout>
          <c:xMode val="edge"/>
          <c:yMode val="edge"/>
          <c:x val="0.366527777777778"/>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lumMod val="7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[工作簿1]Sheet1!$B$39:$B$42</c:f>
              <c:strCache>
                <c:ptCount val="4"/>
                <c:pt idx="0">
                  <c:v>财政拨款收入</c:v>
                </c:pt>
                <c:pt idx="1">
                  <c:v>事业收入</c:v>
                </c:pt>
                <c:pt idx="2">
                  <c:v>经营收入</c:v>
                </c:pt>
                <c:pt idx="3">
                  <c:v>其他收入</c:v>
                </c:pt>
              </c:strCache>
            </c:strRef>
          </c:cat>
          <c:val>
            <c:numRef>
              <c:f>[工作簿1]Sheet1!$C$39:$C$42</c:f>
              <c:numCache>
                <c:formatCode>0.00%</c:formatCode>
                <c:ptCount val="4"/>
                <c:pt idx="0">
                  <c:v>0.3448</c:v>
                </c:pt>
                <c:pt idx="1" c:formatCode="0%">
                  <c:v>0</c:v>
                </c:pt>
                <c:pt idx="2" c:formatCode="0%">
                  <c:v>0</c:v>
                </c:pt>
                <c:pt idx="3">
                  <c:v>0.6552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[工作簿1]Sheet1!$B$50:$B$52</c:f>
              <c:strCache>
                <c:ptCount val="3"/>
                <c:pt idx="0">
                  <c:v>基本支出</c:v>
                </c:pt>
                <c:pt idx="1">
                  <c:v>项目支出</c:v>
                </c:pt>
                <c:pt idx="2">
                  <c:v>经营支出</c:v>
                </c:pt>
              </c:strCache>
            </c:strRef>
          </c:cat>
          <c:val>
            <c:numRef>
              <c:f>[工作簿1]Sheet1!$C$50:$C$52</c:f>
              <c:numCache>
                <c:formatCode>0.00%</c:formatCode>
                <c:ptCount val="3"/>
                <c:pt idx="0">
                  <c:v>0.2944</c:v>
                </c:pt>
                <c:pt idx="1">
                  <c:v>0.7056</c:v>
                </c:pt>
                <c:pt idx="2"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财政拨款收入决算情况表</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[工作簿1]Sheet1!$B$65:$B$66</c:f>
              <c:strCache>
                <c:ptCount val="2"/>
                <c:pt idx="0">
                  <c:v>2019年财政拨款收入</c:v>
                </c:pt>
                <c:pt idx="1">
                  <c:v>2020年财政拨款收入</c:v>
                </c:pt>
              </c:strCache>
            </c:strRef>
          </c:cat>
          <c:val>
            <c:numRef>
              <c:f>[工作簿1]Sheet1!$C$65:$C$66</c:f>
              <c:numCache>
                <c:formatCode>General</c:formatCode>
                <c:ptCount val="2"/>
                <c:pt idx="0">
                  <c:v>716.05</c:v>
                </c:pt>
                <c:pt idx="1">
                  <c:v>703.1</c:v>
                </c:pt>
              </c:numCache>
            </c:numRef>
          </c:val>
        </c:ser>
        <c:dLbls>
          <c:showLegendKey val="0"/>
          <c:showVal val="0"/>
          <c:showCatName val="0"/>
          <c:showSerName val="0"/>
          <c:showPercent val="0"/>
          <c:showBubbleSize val="0"/>
        </c:dLbls>
        <c:gapWidth val="182"/>
        <c:overlap val="0"/>
        <c:axId val="714932469"/>
        <c:axId val="635723489"/>
      </c:barChart>
      <c:catAx>
        <c:axId val="71493246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723489"/>
        <c:crosses val="autoZero"/>
        <c:auto val="1"/>
        <c:lblAlgn val="ctr"/>
        <c:lblOffset val="100"/>
        <c:noMultiLvlLbl val="0"/>
      </c:catAx>
      <c:valAx>
        <c:axId val="63572348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49324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财政拨款支出决算情况表</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[工作簿1]Sheet1!$B$70:$B$71</c:f>
              <c:strCache>
                <c:ptCount val="2"/>
                <c:pt idx="0">
                  <c:v>2019年财政拨款支出</c:v>
                </c:pt>
                <c:pt idx="1">
                  <c:v>2020年财政拨款支出</c:v>
                </c:pt>
              </c:strCache>
            </c:strRef>
          </c:cat>
          <c:val>
            <c:numRef>
              <c:f>[工作簿1]Sheet1!$C$70:$C$71</c:f>
              <c:numCache>
                <c:formatCode>General</c:formatCode>
                <c:ptCount val="2"/>
                <c:pt idx="0">
                  <c:v>716.05</c:v>
                </c:pt>
                <c:pt idx="1">
                  <c:v>703.1</c:v>
                </c:pt>
              </c:numCache>
            </c:numRef>
          </c:val>
        </c:ser>
        <c:dLbls>
          <c:showLegendKey val="0"/>
          <c:showVal val="0"/>
          <c:showCatName val="0"/>
          <c:showSerName val="0"/>
          <c:showPercent val="0"/>
          <c:showBubbleSize val="0"/>
        </c:dLbls>
        <c:gapWidth val="182"/>
        <c:overlap val="0"/>
        <c:axId val="910850963"/>
        <c:axId val="63033695"/>
      </c:barChart>
      <c:catAx>
        <c:axId val="91085096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33695"/>
        <c:crosses val="autoZero"/>
        <c:auto val="1"/>
        <c:lblAlgn val="ctr"/>
        <c:lblOffset val="100"/>
        <c:noMultiLvlLbl val="0"/>
      </c:catAx>
      <c:valAx>
        <c:axId val="630336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8509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财政拨款支出决算总体情况表</a:t>
            </a:r>
          </a:p>
        </c:rich>
      </c:tx>
      <c:layout/>
      <c:overlay val="0"/>
      <c:spPr>
        <a:noFill/>
        <a:ln>
          <a:noFill/>
        </a:ln>
        <a:effectLst/>
      </c:spPr>
    </c:title>
    <c:autoTitleDeleted val="0"/>
    <c:plotArea>
      <c:layout>
        <c:manualLayout>
          <c:layoutTarget val="inner"/>
          <c:xMode val="edge"/>
          <c:yMode val="edge"/>
          <c:x val="0.277861111111112"/>
          <c:y val="0.175981524249423"/>
          <c:w val="0.692694444444444"/>
          <c:h val="0.712332563510393"/>
        </c:manualLayout>
      </c:layout>
      <c:barChart>
        <c:barDir val="bar"/>
        <c:grouping val="clustered"/>
        <c:varyColors val="0"/>
        <c:ser>
          <c:idx val="0"/>
          <c:order val="0"/>
          <c:spPr>
            <a:solidFill>
              <a:schemeClr val="accent1"/>
            </a:solidFill>
            <a:ln>
              <a:noFill/>
            </a:ln>
            <a:effectLst/>
          </c:spPr>
          <c:invertIfNegative val="0"/>
          <c:dLbls>
            <c:delete val="1"/>
          </c:dLbls>
          <c:cat>
            <c:strRef>
              <c:f>[工作簿1]Sheet1!$B$76:$B$79</c:f>
              <c:strCache>
                <c:ptCount val="4"/>
                <c:pt idx="0">
                  <c:v>2019年总支出</c:v>
                </c:pt>
                <c:pt idx="1">
                  <c:v>2019 年财政拨款支出</c:v>
                </c:pt>
                <c:pt idx="2">
                  <c:v>2020年总支出</c:v>
                </c:pt>
                <c:pt idx="3">
                  <c:v>2020 年财政拨款支出</c:v>
                </c:pt>
              </c:strCache>
            </c:strRef>
          </c:cat>
          <c:val>
            <c:numRef>
              <c:f>[工作簿1]Sheet1!$C$76:$C$79</c:f>
              <c:numCache>
                <c:formatCode>General</c:formatCode>
                <c:ptCount val="4"/>
              </c:numCache>
            </c:numRef>
          </c:val>
        </c:ser>
        <c:ser>
          <c:idx val="1"/>
          <c:order val="1"/>
          <c:spPr>
            <a:solidFill>
              <a:schemeClr val="accent2"/>
            </a:solidFill>
            <a:ln>
              <a:noFill/>
            </a:ln>
            <a:effectLst/>
          </c:spPr>
          <c:invertIfNegative val="0"/>
          <c:dPt>
            <c:idx val="2"/>
            <c:invertIfNegative val="0"/>
            <c:bubble3D val="0"/>
            <c:spPr>
              <a:solidFill>
                <a:srgbClr val="5B9BD5"/>
              </a:solidFill>
              <a:ln>
                <a:noFill/>
              </a:ln>
              <a:effectLst/>
            </c:spPr>
          </c:dPt>
          <c:dPt>
            <c:idx val="3"/>
            <c:invertIfNegative val="0"/>
            <c:bubble3D val="0"/>
            <c:spPr>
              <a:solidFill>
                <a:srgbClr val="5B9BD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[工作簿1]Sheet1!$B$76:$B$79</c:f>
              <c:strCache>
                <c:ptCount val="4"/>
                <c:pt idx="0">
                  <c:v>2019年总支出</c:v>
                </c:pt>
                <c:pt idx="1">
                  <c:v>2019 年财政拨款支出</c:v>
                </c:pt>
                <c:pt idx="2">
                  <c:v>2020年总支出</c:v>
                </c:pt>
                <c:pt idx="3">
                  <c:v>2020 年财政拨款支出</c:v>
                </c:pt>
              </c:strCache>
            </c:strRef>
          </c:cat>
          <c:val>
            <c:numRef>
              <c:f>[工作簿1]Sheet1!$D$76:$D$79</c:f>
              <c:numCache>
                <c:formatCode>General</c:formatCode>
                <c:ptCount val="4"/>
                <c:pt idx="0">
                  <c:v>2785.86</c:v>
                </c:pt>
                <c:pt idx="1">
                  <c:v>716.05</c:v>
                </c:pt>
                <c:pt idx="2">
                  <c:v>2096.48</c:v>
                </c:pt>
                <c:pt idx="3">
                  <c:v>703.1</c:v>
                </c:pt>
              </c:numCache>
            </c:numRef>
          </c:val>
        </c:ser>
        <c:dLbls>
          <c:showLegendKey val="0"/>
          <c:showVal val="0"/>
          <c:showCatName val="0"/>
          <c:showSerName val="0"/>
          <c:showPercent val="0"/>
          <c:showBubbleSize val="0"/>
        </c:dLbls>
        <c:gapWidth val="75"/>
        <c:overlap val="40"/>
        <c:axId val="23929743"/>
        <c:axId val="390365561"/>
      </c:barChart>
      <c:catAx>
        <c:axId val="2392974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0365561"/>
        <c:crosses val="autoZero"/>
        <c:auto val="1"/>
        <c:lblAlgn val="ctr"/>
        <c:lblOffset val="100"/>
        <c:noMultiLvlLbl val="0"/>
      </c:catAx>
      <c:valAx>
        <c:axId val="39036556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29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2021-10-11T07:47:00Z</dcterms:created>
  <dc:creator>ʚ AlwaysOnline ɞ</dc:creator>
  <cp:lastModifiedBy>_DDD</cp:lastModifiedBy>
  <dcterms:modified xsi:type="dcterms:W3CDTF">2021-11-05T02:33:00Z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F791C9F484684FF98393D79CBB747541</vt:lpwstr>
  </property>
</Properties>
</file>