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宋体" w:hAnsi="宋体" w:cs="宋体"/>
          <w:b/>
          <w:bCs/>
          <w:sz w:val="48"/>
          <w:szCs w:val="48"/>
        </w:rPr>
      </w:pPr>
      <w:r>
        <w:rPr>
          <w:rFonts w:hint="eastAsia" w:ascii="宋体" w:hAnsi="宋体" w:cs="宋体"/>
          <w:b/>
          <w:bCs/>
          <w:sz w:val="48"/>
          <w:szCs w:val="48"/>
        </w:rPr>
        <w:t>中共杨陵区委机构编制委员会办公室</w:t>
      </w:r>
    </w:p>
    <w:p>
      <w:pPr>
        <w:spacing w:line="560" w:lineRule="exact"/>
        <w:jc w:val="center"/>
        <w:rPr>
          <w:rFonts w:ascii="宋体" w:hAnsi="宋体" w:cs="宋体"/>
          <w:b/>
          <w:bCs/>
          <w:sz w:val="44"/>
          <w:szCs w:val="44"/>
        </w:rPr>
      </w:pPr>
      <w:r>
        <w:rPr>
          <w:rFonts w:hint="eastAsia" w:ascii="宋体" w:hAnsi="宋体" w:cs="宋体"/>
          <w:b/>
          <w:bCs/>
          <w:sz w:val="48"/>
          <w:szCs w:val="48"/>
        </w:rPr>
        <w:t>2020年部门决算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2020年部门决算表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pPr>
      <w:r>
        <w:rPr>
          <w:rFonts w:hint="eastAsia" w:ascii="黑体" w:hAnsi="宋体" w:eastAsia="黑体"/>
          <w:color w:val="000000"/>
          <w:kern w:val="0"/>
          <w:sz w:val="32"/>
          <w:szCs w:val="32"/>
        </w:rPr>
        <w:t>第三部分 2020年部门决算情况说明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（一）财政拨款支出决算总体情况说明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（二）财政拨款支出决算具体情况说明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（一）“三公”经费财政拨款支出决算总体情况说明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（二）“三公”经费财政拨款支出决算具体情况说明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（三）培训费支出情况说明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（四）会议费支出情况说明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十、机关运行经费支出情况说明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十一、政府采购支出情况说明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十二、国有资产占用及购置情况说明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十三、预算绩效情况说明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（一）预算绩效管理工作开展情况说明</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adjustRightInd w:val="0"/>
        <w:snapToGrid w:val="0"/>
        <w:spacing w:line="360" w:lineRule="auto"/>
        <w:ind w:firstLine="602" w:firstLineChars="200"/>
        <w:rPr>
          <w:rFonts w:ascii="楷体_GB2312" w:hAnsi="仿宋" w:eastAsia="楷体_GB2312" w:cs="宋体"/>
          <w:b/>
          <w:kern w:val="0"/>
          <w:sz w:val="30"/>
          <w:szCs w:val="30"/>
        </w:rPr>
      </w:pPr>
      <w:r>
        <w:rPr>
          <w:rFonts w:hint="eastAsia" w:ascii="楷体_GB2312" w:hAnsi="仿宋" w:eastAsia="楷体_GB2312" w:cs="宋体"/>
          <w:b/>
          <w:kern w:val="0"/>
          <w:sz w:val="30"/>
          <w:szCs w:val="30"/>
        </w:rPr>
        <w:t>（一）主要职责。</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中共杨陵区委机构编制委员会办公室是区委机构编制委员会的办事机构，作为区委工作机关，归口区委组织部管理，为正科级，挂区事业单位登记管理局、区党政群机关社会信用代码管理办公室牌子。主要职责：</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1.贯彻执行国家和省有关行政管理体制改革、机构改革、事业单位分类改革、事业单位登记管理制度改革和机构编制管理的方针、政策、法规，拟订本区机构编制管理办法和工作规则。</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2.拟订本区管理体制改革和机构改革总体方案，并组织指导实施。</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3.审核区镇（街道）机关事业单位的职能配置、调整和划分，协调区委、区政府机关事业单位之间职责分工。</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4.审核区镇（街道）机构设置、工作机构（综合岗位）设置，人员编制、领导职数和人员结构调整等事项，指导管理体制改革和机构改革工作。</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5.拟订区级机关、镇（街道）机关人员编制分配方案，贯彻执行事业单位人员编制标准。</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6.负责党政机关、事业单位和社会组织网上名称管理和挂标工作，贯彻执行网上名称管理制度，监督管理网上名称注册和使用，建立网上名称争议解决机制和投诉处理机制。</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7.建立机构编制管理与财政预算管理相互配套协调约束机制，完善机构编制与组织、人社、财政相互配套协调约束机制，组织实施机关、事业单位人员编制实名制登记管理工作，做好机构编制统计工作。</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8.综合管理全区机构编制工作，监督检查区镇（街道）机构编制规定执行情况。</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9.承担区委机构编制委员会的日常工作。</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10.完成区委、区政府、区委编委和上级部门交办的其他工作。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纳入2020年本部门决算编制范围的单位共1个，包括本级及所属6个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noWrap/>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noWrap/>
            <w:vAlign w:val="center"/>
          </w:tcPr>
          <w:p>
            <w:pPr>
              <w:jc w:val="center"/>
              <w:rPr>
                <w:rFonts w:ascii="仿宋_GB2312" w:hAnsi="仿宋_GB2312" w:eastAsia="仿宋_GB2312" w:cs="仿宋_GB2312"/>
                <w:sz w:val="32"/>
                <w:szCs w:val="32"/>
              </w:rPr>
            </w:pPr>
            <w:r>
              <w:rPr>
                <w:rFonts w:hint="eastAsia" w:ascii="仿宋" w:eastAsia="仿宋" w:cs="仿宋"/>
                <w:w w:val="95"/>
                <w:sz w:val="32"/>
                <w:szCs w:val="32"/>
              </w:rPr>
              <w:t>中共杨陵区委机构编制委员会办公室</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人；实有人员8人，其中行政5人、事业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sz w:val="20"/>
          <w:szCs w:val="20"/>
        </w:rPr>
        <w:drawing>
          <wp:inline distT="0" distB="0" distL="0" distR="0">
            <wp:extent cx="4380865" cy="3220085"/>
            <wp:effectExtent l="19050" t="0" r="63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5"/>
                    <a:srcRect/>
                    <a:stretch>
                      <a:fillRect/>
                    </a:stretch>
                  </pic:blipFill>
                  <pic:spPr>
                    <a:xfrm>
                      <a:off x="0" y="0"/>
                      <a:ext cx="4380865" cy="3220085"/>
                    </a:xfrm>
                    <a:prstGeom prst="rect">
                      <a:avLst/>
                    </a:prstGeom>
                    <a:noFill/>
                    <a:ln w="9525">
                      <a:noFill/>
                      <a:miter lim="800000"/>
                      <a:headEnd/>
                      <a:tailEnd/>
                    </a:ln>
                  </pic:spPr>
                </pic:pic>
              </a:graphicData>
            </a:graphic>
          </wp:inline>
        </w:drawing>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w:t>
      </w:r>
      <w:r>
        <w:rPr>
          <w:rFonts w:hint="eastAsia" w:ascii="黑体" w:hAnsi="宋体" w:eastAsia="黑体"/>
          <w:color w:val="000000"/>
          <w:kern w:val="0"/>
          <w:sz w:val="44"/>
          <w:szCs w:val="44"/>
        </w:rPr>
        <w:t>20</w:t>
      </w:r>
      <w:r>
        <w:rPr>
          <w:rFonts w:ascii="黑体" w:hAnsi="宋体" w:eastAsia="黑体"/>
          <w:color w:val="000000"/>
          <w:kern w:val="0"/>
          <w:sz w:val="44"/>
          <w:szCs w:val="44"/>
        </w:rPr>
        <w:t>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2"/>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2"/>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2"/>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2"/>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2"/>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2"/>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hAnsi="宋体" w:cs="宋体"/>
                <w:color w:val="000000"/>
                <w:sz w:val="24"/>
                <w:szCs w:val="22"/>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2"/>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本单位无政府性基金收支</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国有资本经营预算财政拨款支出决算表</w:t>
            </w:r>
          </w:p>
          <w:p>
            <w:pPr>
              <w:widowControl/>
              <w:jc w:val="left"/>
              <w:rPr>
                <w:rFonts w:ascii="宋体" w:hAnsi="宋体" w:cs="宋体"/>
                <w:color w:val="000000"/>
                <w:kern w:val="0"/>
                <w:sz w:val="24"/>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本单位无国有资本经营收支</w:t>
            </w:r>
          </w:p>
        </w:tc>
      </w:tr>
    </w:tbl>
    <w:p>
      <w:pPr>
        <w:widowControl/>
        <w:rPr>
          <w:rFonts w:ascii="黑体" w:hAnsi="宋体" w:eastAsia="黑体"/>
          <w:color w:val="000000"/>
          <w:kern w:val="0"/>
          <w:sz w:val="44"/>
          <w:szCs w:val="44"/>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90.00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90.00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rPr>
          <w:trHeight w:val="281"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26、抗疫特别国债安排支出</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90.00</w:t>
            </w:r>
          </w:p>
        </w:tc>
        <w:tc>
          <w:tcPr>
            <w:tcW w:w="3090"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noWrap/>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rPr>
              <w:t>90.00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使用非财政拨款结余</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Cs/>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Cs/>
                <w:color w:val="000000"/>
                <w:szCs w:val="21"/>
              </w:rPr>
            </w:pPr>
            <w:r>
              <w:rPr>
                <w:rFonts w:hint="eastAsia" w:ascii="宋体" w:hAnsi="宋体" w:cs="宋体"/>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90.00</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90.00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201</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一般公共服务支出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20136</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其他共产党事务支出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2013601</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cs="Arial"/>
                <w:color w:val="000000"/>
                <w:sz w:val="22"/>
                <w:szCs w:val="22"/>
              </w:rPr>
              <w:t>行政运行</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2013699</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其他共产党事务支出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3.00</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3.00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9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90.00</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3.00</w:t>
            </w: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201</w:t>
            </w: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一般公共服务支出</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3.00</w:t>
            </w: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20136</w:t>
            </w: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其他共产党事务支出</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3.00</w:t>
            </w: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2013601</w:t>
            </w: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cs="Arial"/>
                <w:color w:val="000000"/>
                <w:sz w:val="22"/>
                <w:szCs w:val="22"/>
              </w:rPr>
              <w:t>行政运行</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2013699</w:t>
            </w: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rPr>
              <w:t>其他共产党事务支出</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3.00</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3.00</w:t>
            </w: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90.00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26、抗疫特别国债安排支出</w:t>
            </w: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收入总计</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90.00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b/>
                <w:bCs/>
                <w:color w:val="000000"/>
                <w:kern w:val="0"/>
                <w:szCs w:val="21"/>
              </w:rPr>
            </w:pPr>
            <w:r>
              <w:rPr>
                <w:rFonts w:hint="eastAsia" w:ascii="宋体" w:hAnsi="宋体" w:cs="宋体"/>
                <w:b/>
                <w:color w:val="000000"/>
                <w:szCs w:val="21"/>
              </w:rPr>
              <w:t>年末财政拨款结转和结余</w:t>
            </w: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总计</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90.00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总计</w:t>
            </w:r>
          </w:p>
        </w:tc>
        <w:tc>
          <w:tcPr>
            <w:tcW w:w="113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c>
          <w:tcPr>
            <w:tcW w:w="1102"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c>
          <w:tcPr>
            <w:tcW w:w="984" w:type="dxa"/>
            <w:tcBorders>
              <w:top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　</w:t>
            </w:r>
          </w:p>
        </w:tc>
      </w:tr>
    </w:tbl>
    <w:p>
      <w:pPr>
        <w:widowControl/>
        <w:jc w:val="left"/>
        <w:rPr>
          <w:rFonts w:ascii="宋体" w:hAnsi="宋体" w:cs="宋体"/>
          <w:color w:val="000000"/>
          <w:kern w:val="0"/>
          <w:szCs w:val="21"/>
        </w:rPr>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widowControl/>
        <w:jc w:val="left"/>
        <w:rPr>
          <w:rFonts w:ascii="宋体" w:hAnsi="宋体" w:cs="宋体"/>
          <w:color w:val="000000"/>
          <w:kern w:val="0"/>
          <w:szCs w:val="21"/>
        </w:rPr>
      </w:pPr>
    </w:p>
    <w:p>
      <w:pPr>
        <w:widowControl/>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80.75</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6.26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3.00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201</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一般公共服务支出</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80.75</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6.26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3.00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20136</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其他共产党事务支出</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90.00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80.75</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6.26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3.00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2013601</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80.75</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6.26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2013699</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其他共产党事务支出</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3.00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3.00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87.00</w:t>
            </w:r>
          </w:p>
        </w:tc>
        <w:tc>
          <w:tcPr>
            <w:tcW w:w="1437" w:type="dxa"/>
            <w:tcBorders>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80.75</w:t>
            </w:r>
          </w:p>
        </w:tc>
        <w:tc>
          <w:tcPr>
            <w:tcW w:w="1363" w:type="dxa"/>
            <w:tcBorders>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6.26</w:t>
            </w:r>
          </w:p>
        </w:tc>
        <w:tc>
          <w:tcPr>
            <w:tcW w:w="1155" w:type="dxa"/>
            <w:tcBorders>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工资福利支出</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80.75</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30101</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基本工资</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21.33</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30102</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津贴补贴</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18.49</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30103</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奖金</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14.70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30106</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2.43</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30107</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绩效工资</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7.83</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30108</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6.08</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30110</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2.35</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30112</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0.42</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30113</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7.11</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商品和服务支出</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6.26</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30201</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办公费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0.68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30204</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手续费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30205</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水费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30207</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邮电费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1.25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30211</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差旅费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0.29</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30213</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维修(护)费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30226</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劳务费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0.11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30228</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工会经费</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0.87</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30239</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2.49</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30299</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Arial"/>
                <w:color w:val="000000"/>
                <w:sz w:val="22"/>
                <w:szCs w:val="22"/>
              </w:rPr>
            </w:pPr>
            <w:r>
              <w:rPr>
                <w:rFonts w:hint="eastAsia" w:cs="Arial"/>
                <w:color w:val="000000"/>
                <w:sz w:val="22"/>
                <w:szCs w:val="22"/>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1.00</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0.50</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0.50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0.50</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Cs w:val="21"/>
              </w:rPr>
            </w:pPr>
          </w:p>
        </w:tc>
      </w:tr>
    </w:tbl>
    <w:p>
      <w:pPr>
        <w:widowControl/>
        <w:jc w:val="left"/>
        <w:rPr>
          <w:rFonts w:ascii="黑体" w:hAnsi="宋体" w:eastAsia="黑体"/>
          <w:color w:val="000000"/>
          <w:kern w:val="0"/>
          <w:sz w:val="44"/>
          <w:szCs w:val="44"/>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国有资本经营预算财政拨款支出决算表</w:t>
      </w:r>
    </w:p>
    <w:p>
      <w:pPr>
        <w:jc w:val="right"/>
        <w:rPr>
          <w:rFonts w:ascii="宋体" w:hAnsi="宋体" w:cs="宋体"/>
          <w:b/>
          <w:bCs/>
          <w:szCs w:val="21"/>
        </w:rPr>
      </w:pPr>
      <w:r>
        <w:rPr>
          <w:rFonts w:hint="eastAsia" w:ascii="宋体" w:hAnsi="宋体" w:cs="宋体"/>
          <w:b/>
          <w:bCs/>
          <w:szCs w:val="21"/>
        </w:rPr>
        <w:t>公开09</w:t>
      </w:r>
      <w:r>
        <w:rPr>
          <w:rFonts w:hint="eastAsia" w:ascii="宋体" w:hAnsi="宋体" w:cs="宋体"/>
          <w:b/>
          <w:bCs/>
          <w:szCs w:val="21"/>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noWrap/>
          </w:tcPr>
          <w:p>
            <w:pPr>
              <w:jc w:val="center"/>
              <w:rPr>
                <w:rFonts w:ascii="黑体" w:hAnsi="宋体" w:eastAsia="黑体"/>
                <w:color w:val="000000"/>
                <w:kern w:val="0"/>
                <w:sz w:val="44"/>
                <w:szCs w:val="44"/>
              </w:rPr>
            </w:pPr>
            <w:r>
              <w:rPr>
                <w:rFonts w:hint="eastAsia" w:ascii="宋体" w:hAnsi="宋体" w:cs="宋体"/>
                <w:b/>
                <w:color w:val="000000"/>
                <w:kern w:val="0"/>
                <w:szCs w:val="21"/>
              </w:rPr>
              <w:t>项    目</w:t>
            </w:r>
          </w:p>
        </w:tc>
        <w:tc>
          <w:tcPr>
            <w:tcW w:w="5436" w:type="dxa"/>
            <w:gridSpan w:val="3"/>
            <w:noWrap/>
          </w:tcPr>
          <w:p>
            <w:pPr>
              <w:jc w:val="center"/>
              <w:rPr>
                <w:rFonts w:ascii="黑体" w:hAnsi="宋体" w:eastAsia="黑体"/>
                <w:color w:val="000000"/>
                <w:kern w:val="0"/>
                <w:sz w:val="44"/>
                <w:szCs w:val="44"/>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tcPr>
          <w:p>
            <w:pPr>
              <w:jc w:val="center"/>
              <w:rPr>
                <w:rFonts w:ascii="宋体" w:hAnsi="宋体" w:cs="宋体"/>
                <w:b/>
                <w:color w:val="000000"/>
                <w:kern w:val="0"/>
                <w:szCs w:val="21"/>
              </w:rPr>
            </w:pPr>
            <w:r>
              <w:rPr>
                <w:rFonts w:hint="eastAsia" w:ascii="宋体" w:hAnsi="宋体" w:cs="宋体"/>
                <w:b/>
                <w:color w:val="000000"/>
                <w:kern w:val="0"/>
                <w:szCs w:val="21"/>
              </w:rPr>
              <w:t>功能分类</w:t>
            </w:r>
          </w:p>
          <w:p>
            <w:pPr>
              <w:jc w:val="center"/>
              <w:rPr>
                <w:rFonts w:ascii="黑体" w:hAnsi="宋体" w:eastAsia="黑体"/>
                <w:color w:val="000000"/>
                <w:kern w:val="0"/>
                <w:sz w:val="44"/>
                <w:szCs w:val="44"/>
              </w:rPr>
            </w:pPr>
            <w:r>
              <w:rPr>
                <w:rFonts w:hint="eastAsia" w:ascii="宋体" w:hAnsi="宋体" w:cs="宋体"/>
                <w:b/>
                <w:color w:val="000000"/>
                <w:kern w:val="0"/>
                <w:szCs w:val="21"/>
              </w:rPr>
              <w:t>科目编码</w:t>
            </w:r>
          </w:p>
        </w:tc>
        <w:tc>
          <w:tcPr>
            <w:tcW w:w="1812" w:type="dxa"/>
            <w:noWrap/>
          </w:tcPr>
          <w:p>
            <w:pPr>
              <w:jc w:val="center"/>
              <w:rPr>
                <w:rFonts w:ascii="黑体" w:hAnsi="宋体" w:eastAsia="黑体"/>
                <w:color w:val="000000"/>
                <w:kern w:val="0"/>
                <w:sz w:val="44"/>
                <w:szCs w:val="44"/>
              </w:rPr>
            </w:pPr>
            <w:r>
              <w:rPr>
                <w:rFonts w:hint="eastAsia" w:ascii="宋体" w:hAnsi="宋体" w:cs="宋体"/>
                <w:b/>
                <w:color w:val="000000"/>
                <w:kern w:val="0"/>
                <w:szCs w:val="21"/>
              </w:rPr>
              <w:t>科目名称</w:t>
            </w:r>
          </w:p>
        </w:tc>
        <w:tc>
          <w:tcPr>
            <w:tcW w:w="1812" w:type="dxa"/>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12" w:type="dxa"/>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812" w:type="dxa"/>
            <w:noWrap/>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noWrap/>
          </w:tcPr>
          <w:p>
            <w:pPr>
              <w:jc w:val="center"/>
              <w:rPr>
                <w:rFonts w:ascii="宋体" w:hAnsi="宋体" w:cs="宋体"/>
                <w:b/>
                <w:color w:val="000000"/>
                <w:kern w:val="0"/>
                <w:szCs w:val="21"/>
              </w:rPr>
            </w:pPr>
          </w:p>
          <w:p>
            <w:pPr>
              <w:jc w:val="center"/>
              <w:rPr>
                <w:rFonts w:ascii="黑体" w:hAnsi="宋体" w:eastAsia="黑体"/>
                <w:color w:val="000000"/>
                <w:kern w:val="0"/>
                <w:sz w:val="44"/>
                <w:szCs w:val="44"/>
              </w:rPr>
            </w:pPr>
            <w:r>
              <w:rPr>
                <w:rFonts w:hint="eastAsia" w:ascii="宋体" w:hAnsi="宋体" w:cs="宋体"/>
                <w:b/>
                <w:color w:val="000000"/>
                <w:kern w:val="0"/>
                <w:szCs w:val="21"/>
              </w:rPr>
              <w:t>合计</w:t>
            </w: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c>
          <w:tcPr>
            <w:tcW w:w="1812" w:type="dxa"/>
            <w:noWrap/>
          </w:tcPr>
          <w:p>
            <w:pPr>
              <w:jc w:val="center"/>
              <w:rPr>
                <w:rFonts w:ascii="黑体" w:hAnsi="宋体" w:eastAsia="黑体"/>
                <w:color w:val="000000"/>
                <w:kern w:val="0"/>
                <w:sz w:val="44"/>
                <w:szCs w:val="44"/>
              </w:rPr>
            </w:pPr>
          </w:p>
        </w:tc>
      </w:tr>
    </w:tbl>
    <w:p>
      <w:pPr>
        <w:widowControl/>
        <w:jc w:val="left"/>
        <w:rPr>
          <w:rFonts w:ascii="黑体" w:hAnsi="宋体" w:eastAsia="黑体"/>
          <w:color w:val="000000"/>
          <w:kern w:val="0"/>
          <w:sz w:val="44"/>
          <w:szCs w:val="44"/>
        </w:rPr>
      </w:pPr>
      <w:r>
        <w:rPr>
          <w:rFonts w:hint="eastAsia" w:ascii="宋体" w:hAnsi="宋体" w:cs="宋体"/>
          <w:szCs w:val="21"/>
        </w:rPr>
        <w:t>注：本表反映部门本年度国有资本经营预算财政拨款支出情况。</w:t>
      </w:r>
      <w:r>
        <w:rPr>
          <w:rFonts w:hint="eastAsia" w:ascii="宋体" w:hAnsi="宋体" w:cs="宋体"/>
          <w:color w:val="000000"/>
          <w:kern w:val="0"/>
          <w:szCs w:val="21"/>
        </w:rPr>
        <w:t>本表金额转换为万元时，因四舍五入可能存在尾差。</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2020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2020年收入90万元，比上年增加90万元，增加100%，增加的主要原因是区委编办为新成立单位。</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499100" cy="1786255"/>
            <wp:effectExtent l="4445" t="4445" r="13335" b="76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2020年支出90万元，比上年增加90万元，增加100%，增加的主要原因是</w:t>
      </w:r>
      <w:bookmarkStart w:id="0" w:name="_GoBack"/>
      <w:bookmarkEnd w:id="0"/>
      <w:r>
        <w:rPr>
          <w:rFonts w:hint="eastAsia" w:ascii="仿宋_GB2312" w:hAnsi="仿宋" w:eastAsia="仿宋_GB2312"/>
          <w:sz w:val="32"/>
          <w:szCs w:val="32"/>
        </w:rPr>
        <w:t>区委编办为新成立单位。</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inline distT="0" distB="0" distL="0" distR="0">
            <wp:extent cx="5494655" cy="1540510"/>
            <wp:effectExtent l="4445" t="4445" r="1778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90</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90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pPr>
      <w:r>
        <w:drawing>
          <wp:inline distT="0" distB="0" distL="0" distR="0">
            <wp:extent cx="4975860" cy="2370455"/>
            <wp:effectExtent l="4445" t="4445" r="18415" b="177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年支出合</w:t>
      </w:r>
      <w:r>
        <w:rPr>
          <w:rFonts w:hint="eastAsia" w:ascii="仿宋_GB2312" w:hAnsi="宋体" w:eastAsia="仿宋_GB2312" w:cs="仿宋_GB2312"/>
          <w:color w:val="000000"/>
          <w:kern w:val="0"/>
          <w:sz w:val="32"/>
          <w:szCs w:val="32"/>
        </w:rPr>
        <w:t>90</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87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96.67</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3.33</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420" w:firstLineChars="200"/>
        <w:jc w:val="left"/>
      </w:pPr>
      <w:r>
        <w:drawing>
          <wp:inline distT="0" distB="0" distL="0" distR="0">
            <wp:extent cx="4826000" cy="2378710"/>
            <wp:effectExtent l="4445" t="4445" r="1587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收入90万元，比上年0万元增长100%，增加的主要原因是区委编办为新成立单位。</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494655" cy="1769110"/>
            <wp:effectExtent l="4445" t="4445" r="1778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支出90万元，比上年0万元增长100%，增加的主要原因是区委编办为新成立单位。</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289550" cy="1938655"/>
            <wp:effectExtent l="4445" t="4445" r="9525"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年财政拨款支出</w:t>
      </w:r>
      <w:r>
        <w:rPr>
          <w:rFonts w:hint="eastAsia" w:ascii="仿宋_GB2312" w:hAnsi="仿宋" w:eastAsia="仿宋_GB2312"/>
          <w:sz w:val="32"/>
          <w:szCs w:val="32"/>
        </w:rPr>
        <w:t>90</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仿宋" w:eastAsia="仿宋_GB2312"/>
          <w:sz w:val="32"/>
          <w:szCs w:val="32"/>
        </w:rPr>
        <w:t>增长100%，增加的主要是区委编办为新成立单位。</w:t>
      </w:r>
    </w:p>
    <w:p>
      <w:pPr>
        <w:widowControl/>
        <w:ind w:firstLine="420" w:firstLineChars="200"/>
        <w:jc w:val="left"/>
      </w:pPr>
      <w:r>
        <w:drawing>
          <wp:inline distT="0" distB="0" distL="0" distR="0">
            <wp:extent cx="5340350" cy="1854200"/>
            <wp:effectExtent l="4445" t="4445" r="19685" b="1587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 xml:space="preserve"> 年财政拨款支出年初预算为</w:t>
      </w:r>
      <w:r>
        <w:rPr>
          <w:rFonts w:hint="eastAsia" w:ascii="仿宋_GB2312" w:hAnsi="宋体" w:eastAsia="仿宋_GB2312" w:cs="仿宋_GB2312"/>
          <w:color w:val="000000"/>
          <w:kern w:val="0"/>
          <w:sz w:val="32"/>
          <w:szCs w:val="32"/>
        </w:rPr>
        <w:t>118.55</w:t>
      </w:r>
      <w:r>
        <w:rPr>
          <w:rFonts w:ascii="仿宋_GB2312" w:hAnsi="宋体" w:eastAsia="仿宋_GB2312" w:cs="仿宋_GB2312"/>
          <w:color w:val="000000"/>
          <w:kern w:val="0"/>
          <w:sz w:val="32"/>
          <w:szCs w:val="32"/>
        </w:rPr>
        <w:t>万元，支出决算为</w:t>
      </w:r>
      <w:r>
        <w:rPr>
          <w:rFonts w:hint="eastAsia" w:ascii="仿宋_GB2312" w:hAnsi="仿宋" w:eastAsia="仿宋_GB2312"/>
          <w:sz w:val="32"/>
          <w:szCs w:val="32"/>
        </w:rPr>
        <w:t>90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75.91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rPr>
          <w:rFonts w:eastAsia="仿宋_GB2312"/>
        </w:rPr>
      </w:pPr>
      <w:r>
        <w:rPr>
          <w:rFonts w:ascii="仿宋_GB2312" w:hAnsi="宋体" w:eastAsia="仿宋_GB2312" w:cs="仿宋_GB2312"/>
          <w:b/>
          <w:color w:val="000000"/>
          <w:kern w:val="0"/>
          <w:sz w:val="32"/>
          <w:szCs w:val="32"/>
        </w:rPr>
        <w:t>1.一般公共服务支出（类）财政事务（款）行政运行（项）。</w:t>
      </w:r>
    </w:p>
    <w:p>
      <w:pPr>
        <w:widowControl/>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 w:hAnsi="仿宋" w:eastAsia="仿宋" w:cs="仿宋"/>
          <w:color w:val="000000"/>
          <w:kern w:val="0"/>
          <w:sz w:val="32"/>
          <w:szCs w:val="32"/>
        </w:rPr>
        <w:t>118.55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87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73.38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仿宋" w:eastAsia="仿宋_GB2312"/>
          <w:sz w:val="32"/>
          <w:szCs w:val="32"/>
        </w:rPr>
        <w:t>区委编办工作人员调出</w:t>
      </w:r>
      <w:r>
        <w:rPr>
          <w:rFonts w:hint="eastAsia" w:ascii="仿宋_GB2312" w:hAnsi="宋体" w:eastAsia="仿宋_GB2312" w:cs="仿宋_GB2312"/>
          <w:color w:val="000000"/>
          <w:kern w:val="0"/>
          <w:sz w:val="32"/>
          <w:szCs w:val="32"/>
        </w:rPr>
        <w:t>。</w:t>
      </w:r>
    </w:p>
    <w:p>
      <w:pPr>
        <w:widowControl/>
        <w:numPr>
          <w:ilvl w:val="0"/>
          <w:numId w:val="1"/>
        </w:numPr>
        <w:ind w:firstLine="643"/>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一般公共服务支出（类）财政事务（款）</w:t>
      </w:r>
      <w:r>
        <w:rPr>
          <w:rFonts w:hint="eastAsia" w:ascii="仿宋_GB2312" w:hAnsi="宋体" w:eastAsia="仿宋_GB2312" w:cs="仿宋_GB2312"/>
          <w:b/>
          <w:color w:val="000000"/>
          <w:kern w:val="0"/>
          <w:sz w:val="32"/>
          <w:szCs w:val="32"/>
        </w:rPr>
        <w:t>其他共产党事务</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b/>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p>
    <w:p>
      <w:pPr>
        <w:spacing w:line="360" w:lineRule="auto"/>
        <w:ind w:firstLine="640" w:firstLineChars="200"/>
        <w:rPr>
          <w:rFonts w:ascii="仿宋_GB2312" w:hAnsi="仿宋" w:eastAsia="黑体"/>
          <w:sz w:val="32"/>
          <w:szCs w:val="32"/>
        </w:rPr>
      </w:pPr>
      <w:r>
        <w:rPr>
          <w:rFonts w:hint="eastAsia" w:ascii="黑体" w:hAnsi="黑体" w:eastAsia="黑体"/>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kern w:val="0"/>
          <w:sz w:val="31"/>
          <w:szCs w:val="31"/>
        </w:rPr>
      </w:pPr>
      <w:r>
        <w:rPr>
          <w:rFonts w:ascii="仿宋_GB2312" w:hAnsi="仿宋_GB2312" w:eastAsia="仿宋_GB2312" w:cs="仿宋_GB2312"/>
          <w:kern w:val="0"/>
          <w:sz w:val="31"/>
          <w:szCs w:val="31"/>
        </w:rPr>
        <w:t>20</w:t>
      </w:r>
      <w:r>
        <w:rPr>
          <w:rFonts w:hint="eastAsia" w:ascii="仿宋_GB2312" w:hAnsi="仿宋_GB2312" w:eastAsia="仿宋_GB2312" w:cs="仿宋_GB2312"/>
          <w:kern w:val="0"/>
          <w:sz w:val="31"/>
          <w:szCs w:val="31"/>
        </w:rPr>
        <w:t>20</w:t>
      </w:r>
      <w:r>
        <w:rPr>
          <w:rFonts w:ascii="仿宋_GB2312" w:hAnsi="仿宋_GB2312" w:eastAsia="仿宋_GB2312" w:cs="仿宋_GB2312"/>
          <w:kern w:val="0"/>
          <w:sz w:val="31"/>
          <w:szCs w:val="31"/>
        </w:rPr>
        <w:t>年一般公共预算财政拨款基本支出</w:t>
      </w:r>
      <w:r>
        <w:rPr>
          <w:rFonts w:hint="eastAsia" w:ascii="仿宋_GB2312" w:hAnsi="仿宋_GB2312" w:eastAsia="仿宋_GB2312" w:cs="仿宋_GB2312"/>
          <w:kern w:val="0"/>
          <w:sz w:val="31"/>
          <w:szCs w:val="31"/>
        </w:rPr>
        <w:t>90</w:t>
      </w:r>
      <w:r>
        <w:rPr>
          <w:rFonts w:ascii="仿宋_GB2312" w:hAnsi="仿宋_GB2312" w:eastAsia="仿宋_GB2312" w:cs="仿宋_GB2312"/>
          <w:kern w:val="0"/>
          <w:sz w:val="31"/>
          <w:szCs w:val="31"/>
        </w:rPr>
        <w:t>万元，包括：人员经费支出</w:t>
      </w:r>
      <w:r>
        <w:rPr>
          <w:rFonts w:hint="eastAsia" w:ascii="仿宋_GB2312" w:hAnsi="仿宋_GB2312" w:eastAsia="仿宋_GB2312" w:cs="仿宋_GB2312"/>
          <w:kern w:val="0"/>
          <w:sz w:val="31"/>
          <w:szCs w:val="31"/>
        </w:rPr>
        <w:t>80.75</w:t>
      </w:r>
      <w:r>
        <w:rPr>
          <w:rFonts w:ascii="仿宋_GB2312" w:hAnsi="仿宋_GB2312" w:eastAsia="仿宋_GB2312" w:cs="仿宋_GB2312"/>
          <w:kern w:val="0"/>
          <w:sz w:val="31"/>
          <w:szCs w:val="31"/>
        </w:rPr>
        <w:t>万元和公用经费支出</w:t>
      </w:r>
      <w:r>
        <w:rPr>
          <w:rFonts w:hint="eastAsia" w:ascii="仿宋_GB2312" w:hAnsi="仿宋_GB2312" w:eastAsia="仿宋_GB2312" w:cs="仿宋_GB2312"/>
          <w:kern w:val="0"/>
          <w:sz w:val="31"/>
          <w:szCs w:val="31"/>
        </w:rPr>
        <w:t>6.26</w:t>
      </w:r>
      <w:r>
        <w:rPr>
          <w:rFonts w:ascii="仿宋_GB2312" w:hAnsi="仿宋_GB2312" w:eastAsia="仿宋_GB2312" w:cs="仿宋_GB2312"/>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80.75</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21.33万元、津贴补贴18.49万元、奖金14.7万元、伙食补助费2.43万元、绩效工资7.83万元、机关事业单位基本养老保险缴费6.08万元、职工基本医疗保险缴费2.35万元、其他社会保险缴费0.42万元、住房公积金7.11万元。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6.26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办公费0.68万元、水费0.08万元、邮电费1.25万元、差旅费0.29万元、维修（护）费0.45万元、劳务费0.11万元、工会经费0.87万元、其他交通费用2.49万元、其他商品和服务支出0.02万元。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rPr>
          <w:rFonts w:eastAsia="楷体_GB2312"/>
        </w:rPr>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年“三公”经费财政拨款支出预算为</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无公务接待批次。</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万元；公务接待费支出决算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2020年因公出国（境）团组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drawing>
          <wp:inline distT="0" distB="0" distL="0" distR="0">
            <wp:extent cx="5162550" cy="1769110"/>
            <wp:effectExtent l="4445" t="4445" r="1460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2020年购置车辆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drawing>
          <wp:inline distT="0" distB="0" distL="0" distR="0">
            <wp:extent cx="4603750" cy="1651000"/>
            <wp:effectExtent l="4445" t="4445" r="9525" b="57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823460" cy="1862455"/>
            <wp:effectExtent l="4445" t="4445" r="18415" b="76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2020年公务接待费预算数为0.5万元，</w:t>
      </w:r>
      <w:r>
        <w:rPr>
          <w:rFonts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无公务接待批次。</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400550" cy="2006600"/>
            <wp:effectExtent l="4445" t="4445" r="14605" b="1587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ind w:firstLine="640" w:firstLineChars="200"/>
        <w:jc w:val="left"/>
        <w:rPr>
          <w:rFonts w:ascii="仿宋_GB2312" w:hAnsi="宋体" w:eastAsia="仿宋_GB2312" w:cs="仿宋_GB2312"/>
          <w:color w:val="000000"/>
          <w:kern w:val="0"/>
          <w:sz w:val="32"/>
          <w:szCs w:val="32"/>
        </w:rPr>
      </w:pP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仿宋_GB2312" w:hAnsi="宋体" w:eastAsia="仿宋_GB2312" w:cs="仿宋_GB2312"/>
          <w:color w:val="000000"/>
          <w:kern w:val="0"/>
          <w:sz w:val="32"/>
          <w:szCs w:val="32"/>
        </w:rPr>
      </w:pPr>
      <w:r>
        <w:rPr>
          <w:rFonts w:hint="eastAsia" w:ascii="黑体" w:hAnsi="黑体" w:eastAsia="黑体"/>
          <w:color w:val="000000"/>
          <w:kern w:val="0"/>
          <w:sz w:val="32"/>
          <w:szCs w:val="32"/>
        </w:rPr>
        <w:t>十、机关运行经费支出情况说明</w:t>
      </w:r>
    </w:p>
    <w:p>
      <w:pPr>
        <w:widowControl/>
        <w:jc w:val="left"/>
        <w:rPr>
          <w:rFonts w:ascii="仿宋" w:hAnsi="仿宋" w:eastAsia="仿宋" w:cs="楷体"/>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机关运行经费</w:t>
      </w:r>
      <w:r>
        <w:rPr>
          <w:rFonts w:ascii="仿宋_GB2312" w:hAnsi="宋体" w:eastAsia="仿宋_GB2312" w:cs="仿宋_GB2312"/>
          <w:kern w:val="0"/>
          <w:sz w:val="32"/>
          <w:szCs w:val="32"/>
        </w:rPr>
        <w:t>预算为</w:t>
      </w:r>
      <w:r>
        <w:rPr>
          <w:rFonts w:hint="eastAsia" w:ascii="仿宋_GB2312" w:hAnsi="宋体" w:eastAsia="仿宋_GB2312" w:cs="仿宋_GB2312"/>
          <w:kern w:val="0"/>
          <w:sz w:val="32"/>
          <w:szCs w:val="32"/>
        </w:rPr>
        <w:t>2.6</w:t>
      </w:r>
      <w:r>
        <w:rPr>
          <w:rFonts w:ascii="仿宋_GB2312" w:hAnsi="宋体" w:eastAsia="仿宋_GB2312" w:cs="仿宋_GB2312"/>
          <w:kern w:val="0"/>
          <w:sz w:val="32"/>
          <w:szCs w:val="32"/>
        </w:rPr>
        <w:t>万元，支出决算为</w:t>
      </w:r>
      <w:r>
        <w:rPr>
          <w:rFonts w:hint="eastAsia" w:ascii="仿宋_GB2312" w:hAnsi="宋体" w:eastAsia="仿宋_GB2312" w:cs="仿宋_GB2312"/>
          <w:kern w:val="0"/>
          <w:sz w:val="32"/>
          <w:szCs w:val="32"/>
        </w:rPr>
        <w:t>6.26</w:t>
      </w:r>
      <w:r>
        <w:rPr>
          <w:rFonts w:ascii="仿宋_GB2312" w:hAnsi="宋体" w:eastAsia="仿宋_GB2312" w:cs="仿宋_GB2312"/>
          <w:kern w:val="0"/>
          <w:sz w:val="32"/>
          <w:szCs w:val="32"/>
        </w:rPr>
        <w:t>万元，完成预算的</w:t>
      </w:r>
      <w:r>
        <w:rPr>
          <w:rFonts w:hint="eastAsia" w:ascii="仿宋_GB2312" w:hAnsi="宋体" w:eastAsia="仿宋_GB2312" w:cs="仿宋_GB2312"/>
          <w:kern w:val="0"/>
          <w:sz w:val="32"/>
          <w:szCs w:val="32"/>
        </w:rPr>
        <w:t>100</w:t>
      </w:r>
      <w:r>
        <w:rPr>
          <w:rFonts w:ascii="仿宋_GB2312" w:hAnsi="宋体" w:eastAsia="仿宋_GB2312" w:cs="仿宋_GB2312"/>
          <w:kern w:val="0"/>
          <w:sz w:val="32"/>
          <w:szCs w:val="32"/>
        </w:rPr>
        <w:t>%</w:t>
      </w:r>
      <w:r>
        <w:rPr>
          <w:rFonts w:hint="eastAsia" w:ascii="仿宋_GB2312" w:hAnsi="仿宋_GB2312" w:eastAsia="仿宋_GB2312" w:cs="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十一、政府采购支出情况说明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本部门2020年无政府采购支出</w:t>
      </w:r>
    </w:p>
    <w:p>
      <w:pPr>
        <w:ind w:firstLine="640" w:firstLineChars="200"/>
        <w:rPr>
          <w:rFonts w:ascii="仿宋_GB2312" w:hAnsi="仿宋_GB2312" w:eastAsia="仿宋_GB2312" w:cs="仿宋_GB2312"/>
          <w:sz w:val="32"/>
          <w:szCs w:val="32"/>
        </w:rPr>
      </w:pPr>
      <w:r>
        <w:rPr>
          <w:rFonts w:hint="eastAsia" w:ascii="黑体" w:hAnsi="黑体" w:eastAsia="黑体"/>
          <w:color w:val="000000"/>
          <w:kern w:val="0"/>
          <w:sz w:val="32"/>
          <w:szCs w:val="32"/>
        </w:rPr>
        <w:t>十二、国有资产占用及购置情况说明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末，本部门机关及所属单位共有车辆0辆；单价50万元以上的通用设备0台（套）；单价100万元以上的专用设备0台（套）。2020年当年购置车辆0辆；购置单价50万元以上的通用设备0台（套）；购置单价100万元以上的专用设备0台（套）。</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eastAsia="仿宋_GB2312"/>
        </w:rPr>
      </w:pPr>
      <w:r>
        <w:rPr>
          <w:rFonts w:hint="eastAsia" w:ascii="仿宋_GB2312" w:hAnsi="仿宋_GB2312" w:eastAsia="仿宋_GB2312" w:cs="仿宋_GB2312"/>
          <w:sz w:val="32"/>
          <w:szCs w:val="32"/>
        </w:rPr>
        <w:t>根据预算绩效管理要求，本部门组织对 2020</w:t>
      </w:r>
      <w:r>
        <w:rPr>
          <w:rFonts w:ascii="仿宋_GB2312" w:hAnsi="仿宋_GB2312" w:eastAsia="仿宋_GB2312" w:cs="仿宋_GB2312"/>
          <w:sz w:val="32"/>
          <w:szCs w:val="32"/>
        </w:rPr>
        <w:t>年一般公共预算项目支出全面开展绩效自评，其</w:t>
      </w:r>
      <w:r>
        <w:rPr>
          <w:rFonts w:ascii="仿宋_GB2312" w:hAnsi="仿宋_GB2312" w:eastAsia="仿宋_GB2312" w:cs="仿宋_GB2312"/>
          <w:color w:val="auto"/>
          <w:sz w:val="32"/>
          <w:szCs w:val="32"/>
          <w:highlight w:val="none"/>
        </w:rPr>
        <w:t>中，</w:t>
      </w:r>
      <w:r>
        <w:rPr>
          <w:rFonts w:hint="eastAsia" w:ascii="仿宋_GB2312" w:hAnsi="仿宋_GB2312" w:eastAsia="仿宋_GB2312" w:cs="仿宋_GB2312"/>
          <w:color w:val="auto"/>
          <w:sz w:val="32"/>
          <w:szCs w:val="32"/>
          <w:highlight w:val="none"/>
        </w:rPr>
        <w:t>二</w:t>
      </w:r>
      <w:r>
        <w:rPr>
          <w:rFonts w:ascii="仿宋_GB2312" w:hAnsi="仿宋_GB2312" w:eastAsia="仿宋_GB2312" w:cs="仿宋_GB2312"/>
          <w:color w:val="auto"/>
          <w:sz w:val="32"/>
          <w:szCs w:val="32"/>
          <w:highlight w:val="none"/>
        </w:rPr>
        <w:t>级项目</w:t>
      </w: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个，</w:t>
      </w:r>
      <w:r>
        <w:rPr>
          <w:rFonts w:ascii="仿宋_GB2312" w:hAnsi="仿宋_GB2312" w:eastAsia="仿宋_GB2312" w:cs="仿宋_GB2312"/>
          <w:sz w:val="32"/>
          <w:szCs w:val="32"/>
        </w:rPr>
        <w:t>共涉及资金</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w:t>
      </w:r>
      <w:r>
        <w:rPr>
          <w:rFonts w:hint="eastAsia" w:ascii="仿宋_GB2312" w:hAnsi="仿宋_GB2312" w:eastAsia="仿宋_GB2312" w:cs="仿宋_GB2312"/>
          <w:color w:val="000000"/>
          <w:kern w:val="0"/>
          <w:sz w:val="31"/>
          <w:szCs w:val="31"/>
        </w:rPr>
        <w:t>20</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center"/>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预算绩效评价</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94</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5</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kern w:val="0"/>
          <w:sz w:val="31"/>
          <w:szCs w:val="31"/>
        </w:rPr>
        <w:t>3</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kern w:val="0"/>
          <w:sz w:val="31"/>
          <w:szCs w:val="31"/>
        </w:rPr>
        <w:t>60</w:t>
      </w:r>
      <w:r>
        <w:rPr>
          <w:rFonts w:ascii="仿宋_GB2312" w:hAnsi="仿宋_GB2312" w:eastAsia="仿宋_GB2312" w:cs="仿宋_GB2312"/>
          <w:kern w:val="0"/>
          <w:sz w:val="31"/>
          <w:szCs w:val="31"/>
        </w:rPr>
        <w:t>%。</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保证了全区机构编制工作正常开展。</w:t>
      </w:r>
      <w:r>
        <w:rPr>
          <w:rFonts w:hint="eastAsia" w:ascii="楷体" w:hAnsi="楷体" w:eastAsia="楷体" w:cs="楷体"/>
          <w:sz w:val="32"/>
          <w:szCs w:val="32"/>
        </w:rPr>
        <w:object>
          <v:shape id="_x0000_i1025" o:spt="75" type="#_x0000_t75" style="height:481.45pt;width:370.75pt;" o:ole="t" filled="f" o:preferrelative="t" stroked="f" coordsize="21600,21600">
            <v:path/>
            <v:fill on="f" focussize="0,0"/>
            <v:stroke on="f" joinstyle="miter"/>
            <v:imagedata r:id="rId18" o:title=""/>
            <o:lock v:ext="edit" aspectratio="t"/>
            <w10:wrap type="none"/>
            <w10:anchorlock/>
          </v:shape>
          <o:OLEObject Type="Embed" ProgID="Excel.Sheet.8" ShapeID="_x0000_i1025" DrawAspect="Content" ObjectID="_1468075725" r:id="rId17">
            <o:LockedField>false</o:LockedField>
          </o:OLEObject>
        </w:object>
      </w:r>
    </w:p>
    <w:p>
      <w:pPr>
        <w:widowControl/>
        <w:ind w:firstLine="620" w:firstLineChars="200"/>
        <w:jc w:val="left"/>
      </w:pPr>
      <w:r>
        <w:rPr>
          <w:rFonts w:hint="eastAsia" w:ascii="仿宋_GB2312" w:hAnsi="仿宋_GB2312" w:eastAsia="仿宋_GB2312" w:cs="仿宋_GB2312"/>
          <w:color w:val="000000"/>
          <w:kern w:val="0"/>
          <w:sz w:val="31"/>
          <w:szCs w:val="31"/>
        </w:rPr>
        <w:t>《统一社会信用代码正式》换发</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90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主要用于保障全区机关事业单位《统一社会信用代码正式》换发工作各项业务经费支出。</w:t>
      </w:r>
    </w:p>
    <w:p>
      <w:pPr>
        <w:widowControl/>
        <w:jc w:val="left"/>
      </w:pPr>
      <w:r>
        <w:rPr>
          <w:rFonts w:hint="eastAsia" w:ascii="楷体" w:hAnsi="楷体" w:eastAsia="楷体" w:cs="楷体"/>
          <w:sz w:val="32"/>
          <w:szCs w:val="32"/>
        </w:rPr>
        <w:object>
          <v:shape id="_x0000_i1026" o:spt="75" type="#_x0000_t75" style="height:502.95pt;width:370.75pt;" o:ole="t" filled="f" o:preferrelative="t" stroked="f" coordsize="21600,21600">
            <v:path/>
            <v:fill on="f" focussize="0,0"/>
            <v:stroke on="f" joinstyle="miter"/>
            <v:imagedata r:id="rId20" o:title=""/>
            <o:lock v:ext="edit" aspectratio="t"/>
            <w10:wrap type="none"/>
            <w10:anchorlock/>
          </v:shape>
          <o:OLEObject Type="Embed" ProgID="Excel.Sheet.8" ShapeID="_x0000_i1026" DrawAspect="Content" ObjectID="_1468075726" r:id="rId19">
            <o:LockedField>false</o:LockedField>
          </o:OLEObject>
        </w:object>
      </w: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仿宋_GB2312" w:hAnsi="仿宋_GB2312" w:eastAsia="仿宋_GB2312" w:cs="仿宋_GB2312"/>
          <w:color w:val="000000"/>
          <w:kern w:val="0"/>
          <w:sz w:val="31"/>
          <w:szCs w:val="31"/>
        </w:rPr>
        <w:t>宣传费</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完成《中国共产党机构编制工作条例》宣传工作，开展宣传讲座，制作宣传展板，营造氛围。</w: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type="#_x0000_t75" style="height:1070.35pt;width:509.35pt;" o:ole="t" filled="f" o:preferrelative="t" stroked="f" coordsize="21600,21600">
            <v:path/>
            <v:fill on="f" focussize="0,0"/>
            <v:stroke on="f" joinstyle="miter"/>
            <v:imagedata r:id="rId22" o:title=""/>
            <o:lock v:ext="edit" aspectratio="t"/>
            <w10:wrap type="none"/>
            <w10:anchorlock/>
          </v:shape>
          <o:OLEObject Type="Embed" ProgID="Excel.Sheet.8" ShapeID="_x0000_i1027" DrawAspect="Content" ObjectID="_1468075727" r:id="rId21">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8" o:spt="75" type="#_x0000_t75" style="height:310.55pt;width:576pt;" o:ole="t" filled="f" o:preferrelative="t" stroked="f" coordsize="21600,21600">
            <v:path/>
            <v:fill on="f" focussize="0,0"/>
            <v:stroke on="f" joinstyle="miter"/>
            <v:imagedata r:id="rId24" o:title=""/>
            <o:lock v:ext="edit" aspectratio="t"/>
            <w10:wrap type="none"/>
            <w10:anchorlock/>
          </v:shape>
          <o:OLEObject Type="Embed" ProgID="Excel.Sheet.8" ShapeID="_x0000_i1028" DrawAspect="Content" ObjectID="_1468075728" r:id="rId23">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9" o:spt="75" type="#_x0000_t75" style="height:348.2pt;width:582.45pt;" o:ole="t" filled="f" o:preferrelative="t" stroked="f" coordsize="21600,21600">
            <v:path/>
            <v:fill on="f" focussize="0,0"/>
            <v:stroke on="f" joinstyle="miter"/>
            <v:imagedata r:id="rId26" o:title=""/>
            <o:lock v:ext="edit" aspectratio="t"/>
            <w10:wrap type="none"/>
            <w10:anchorlock/>
          </v:shape>
          <o:OLEObject Type="Embed" ProgID="Excel.Sheet.8" ShapeID="_x0000_i1029" DrawAspect="Content" ObjectID="_1468075729" r:id="rId25">
            <o:LockedField>false</o:LockedField>
          </o:OLEObject>
        </w:objec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p>
      <w:pPr>
        <w:spacing w:beforeLines="50" w:afterLines="50" w:line="560" w:lineRule="exact"/>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24254"/>
    <w:multiLevelType w:val="singleLevel"/>
    <w:tmpl w:val="89524254"/>
    <w:lvl w:ilvl="0" w:tentative="0">
      <w:start w:val="2"/>
      <w:numFmt w:val="decimal"/>
      <w:lvlText w:val="%1."/>
      <w:lvlJc w:val="left"/>
      <w:pPr>
        <w:tabs>
          <w:tab w:val="left" w:pos="312"/>
        </w:tabs>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47FA3"/>
    <w:rsid w:val="00050E89"/>
    <w:rsid w:val="000C7321"/>
    <w:rsid w:val="001444C8"/>
    <w:rsid w:val="00146787"/>
    <w:rsid w:val="00164001"/>
    <w:rsid w:val="001C6373"/>
    <w:rsid w:val="001C7BE5"/>
    <w:rsid w:val="001D7568"/>
    <w:rsid w:val="002424C8"/>
    <w:rsid w:val="002A7893"/>
    <w:rsid w:val="002C4616"/>
    <w:rsid w:val="002F4592"/>
    <w:rsid w:val="00313F64"/>
    <w:rsid w:val="00326120"/>
    <w:rsid w:val="003364E9"/>
    <w:rsid w:val="00393B6B"/>
    <w:rsid w:val="00437044"/>
    <w:rsid w:val="00452E2E"/>
    <w:rsid w:val="00457FF3"/>
    <w:rsid w:val="00472AB1"/>
    <w:rsid w:val="004A3659"/>
    <w:rsid w:val="004B6D6E"/>
    <w:rsid w:val="004E4C87"/>
    <w:rsid w:val="004E7B8E"/>
    <w:rsid w:val="005150C8"/>
    <w:rsid w:val="00553AE6"/>
    <w:rsid w:val="00563FEF"/>
    <w:rsid w:val="005F5EBF"/>
    <w:rsid w:val="00640FEB"/>
    <w:rsid w:val="00671B1C"/>
    <w:rsid w:val="006850DD"/>
    <w:rsid w:val="00710E4D"/>
    <w:rsid w:val="00727FC3"/>
    <w:rsid w:val="007553C3"/>
    <w:rsid w:val="007E0BF2"/>
    <w:rsid w:val="007E12A3"/>
    <w:rsid w:val="00813F4A"/>
    <w:rsid w:val="00881958"/>
    <w:rsid w:val="00894AD8"/>
    <w:rsid w:val="008C7443"/>
    <w:rsid w:val="008D3F7C"/>
    <w:rsid w:val="00913FEC"/>
    <w:rsid w:val="00A3232C"/>
    <w:rsid w:val="00A65C5D"/>
    <w:rsid w:val="00A67FBF"/>
    <w:rsid w:val="00AA1B8E"/>
    <w:rsid w:val="00AA7C2C"/>
    <w:rsid w:val="00AC3BE2"/>
    <w:rsid w:val="00AC47AE"/>
    <w:rsid w:val="00AD558C"/>
    <w:rsid w:val="00B54383"/>
    <w:rsid w:val="00B80654"/>
    <w:rsid w:val="00C312DF"/>
    <w:rsid w:val="00C4285B"/>
    <w:rsid w:val="00C908E8"/>
    <w:rsid w:val="00C96AA7"/>
    <w:rsid w:val="00D20D28"/>
    <w:rsid w:val="00D73A56"/>
    <w:rsid w:val="00DC52FA"/>
    <w:rsid w:val="00E53201"/>
    <w:rsid w:val="00E8111E"/>
    <w:rsid w:val="00EE5820"/>
    <w:rsid w:val="00F47BEC"/>
    <w:rsid w:val="00F56FE3"/>
    <w:rsid w:val="00F87002"/>
    <w:rsid w:val="00FC04AA"/>
    <w:rsid w:val="00FF3CAE"/>
    <w:rsid w:val="01082D2A"/>
    <w:rsid w:val="013B79AC"/>
    <w:rsid w:val="05F62938"/>
    <w:rsid w:val="08BD51EE"/>
    <w:rsid w:val="0A31128A"/>
    <w:rsid w:val="0AED5113"/>
    <w:rsid w:val="0C641720"/>
    <w:rsid w:val="0ED75CAF"/>
    <w:rsid w:val="0EF8508C"/>
    <w:rsid w:val="0FA36716"/>
    <w:rsid w:val="0FCD62FE"/>
    <w:rsid w:val="108D3FE0"/>
    <w:rsid w:val="10AF5D5F"/>
    <w:rsid w:val="10BA7076"/>
    <w:rsid w:val="11645F14"/>
    <w:rsid w:val="125E2600"/>
    <w:rsid w:val="12756124"/>
    <w:rsid w:val="132E46A0"/>
    <w:rsid w:val="14411117"/>
    <w:rsid w:val="1586116E"/>
    <w:rsid w:val="18BB4AD7"/>
    <w:rsid w:val="1B4A3FDA"/>
    <w:rsid w:val="1B524C98"/>
    <w:rsid w:val="1C5E2F73"/>
    <w:rsid w:val="1D6E0C0D"/>
    <w:rsid w:val="1D851933"/>
    <w:rsid w:val="221C15BB"/>
    <w:rsid w:val="23334F59"/>
    <w:rsid w:val="24FB4D20"/>
    <w:rsid w:val="266458CE"/>
    <w:rsid w:val="27645415"/>
    <w:rsid w:val="278E3721"/>
    <w:rsid w:val="28972032"/>
    <w:rsid w:val="29785A6B"/>
    <w:rsid w:val="2D0157BC"/>
    <w:rsid w:val="2D1F3974"/>
    <w:rsid w:val="2DB52EF2"/>
    <w:rsid w:val="2F975546"/>
    <w:rsid w:val="31AA6038"/>
    <w:rsid w:val="333F3125"/>
    <w:rsid w:val="33887EE3"/>
    <w:rsid w:val="34677C61"/>
    <w:rsid w:val="35EE7C76"/>
    <w:rsid w:val="39076E98"/>
    <w:rsid w:val="39160CD1"/>
    <w:rsid w:val="3B121AD1"/>
    <w:rsid w:val="3BA73AA7"/>
    <w:rsid w:val="3CFD0D2E"/>
    <w:rsid w:val="41603979"/>
    <w:rsid w:val="41CF436B"/>
    <w:rsid w:val="436F2337"/>
    <w:rsid w:val="43F57B8D"/>
    <w:rsid w:val="45764497"/>
    <w:rsid w:val="4619368A"/>
    <w:rsid w:val="4665076D"/>
    <w:rsid w:val="471F2499"/>
    <w:rsid w:val="47922A8E"/>
    <w:rsid w:val="4BC932E4"/>
    <w:rsid w:val="4D6E0FDF"/>
    <w:rsid w:val="4EE4307A"/>
    <w:rsid w:val="4F335367"/>
    <w:rsid w:val="4FC20C4F"/>
    <w:rsid w:val="5153143F"/>
    <w:rsid w:val="518C7FB3"/>
    <w:rsid w:val="51A80445"/>
    <w:rsid w:val="54F12DEE"/>
    <w:rsid w:val="56BE562A"/>
    <w:rsid w:val="5B8D564A"/>
    <w:rsid w:val="5B965063"/>
    <w:rsid w:val="5E9B7D6F"/>
    <w:rsid w:val="601D5DC1"/>
    <w:rsid w:val="61D50D2A"/>
    <w:rsid w:val="63911DD1"/>
    <w:rsid w:val="65074FBA"/>
    <w:rsid w:val="663D7F17"/>
    <w:rsid w:val="67C62DCD"/>
    <w:rsid w:val="69512523"/>
    <w:rsid w:val="6C8931C4"/>
    <w:rsid w:val="6DB168A8"/>
    <w:rsid w:val="71036B75"/>
    <w:rsid w:val="71086DB5"/>
    <w:rsid w:val="72ED76C1"/>
    <w:rsid w:val="75C31473"/>
    <w:rsid w:val="77B331C9"/>
    <w:rsid w:val="7B443015"/>
    <w:rsid w:val="7C3E5E46"/>
    <w:rsid w:val="7C5B5A63"/>
    <w:rsid w:val="7D666D49"/>
    <w:rsid w:val="7EE75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w:basedOn w:val="1"/>
    <w:link w:val="15"/>
    <w:qFormat/>
    <w:uiPriority w:val="1"/>
    <w:pPr>
      <w:autoSpaceDE w:val="0"/>
      <w:autoSpaceDN w:val="0"/>
      <w:adjustRightInd w:val="0"/>
      <w:jc w:val="left"/>
    </w:pPr>
    <w:rPr>
      <w:rFonts w:ascii="仿宋" w:hAnsi="Times New Roman" w:eastAsia="仿宋" w:cs="仿宋"/>
      <w:kern w:val="0"/>
      <w:sz w:val="32"/>
      <w:szCs w:val="32"/>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4"/>
    <w:qFormat/>
    <w:uiPriority w:val="0"/>
    <w:rPr>
      <w:rFonts w:ascii="Calibri" w:hAnsi="Calibri" w:cs="黑体"/>
      <w:kern w:val="2"/>
      <w:sz w:val="18"/>
      <w:szCs w:val="18"/>
    </w:rPr>
  </w:style>
  <w:style w:type="character" w:customStyle="1" w:styleId="15">
    <w:name w:val="正文文本 Char"/>
    <w:basedOn w:val="10"/>
    <w:link w:val="3"/>
    <w:qFormat/>
    <w:uiPriority w:val="1"/>
    <w:rPr>
      <w:rFonts w:ascii="仿宋"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6.emf"/><Relationship Id="rId25" Type="http://schemas.openxmlformats.org/officeDocument/2006/relationships/oleObject" Target="embeddings/oleObject5.bin"/><Relationship Id="rId24" Type="http://schemas.openxmlformats.org/officeDocument/2006/relationships/image" Target="media/image5.emf"/><Relationship Id="rId23" Type="http://schemas.openxmlformats.org/officeDocument/2006/relationships/oleObject" Target="embeddings/oleObject4.bin"/><Relationship Id="rId22" Type="http://schemas.openxmlformats.org/officeDocument/2006/relationships/image" Target="media/image4.emf"/><Relationship Id="rId21" Type="http://schemas.openxmlformats.org/officeDocument/2006/relationships/oleObject" Target="embeddings/oleObject3.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emf"/><Relationship Id="rId17" Type="http://schemas.openxmlformats.org/officeDocument/2006/relationships/oleObject" Target="embeddings/oleObject1.bin"/><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189376443418"/>
          <c:y val="0.0782083185211518"/>
          <c:w val="0.822228637413397"/>
          <c:h val="0.734802701741911"/>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2019年收入</c:v>
                </c:pt>
                <c:pt idx="1">
                  <c:v>2020年收入</c:v>
                </c:pt>
              </c:strCache>
            </c:strRef>
          </c:cat>
          <c:val>
            <c:numRef>
              <c:f>Sheet1!$B$2:$B$3</c:f>
              <c:numCache>
                <c:formatCode>General</c:formatCode>
                <c:ptCount val="2"/>
                <c:pt idx="0">
                  <c:v>0</c:v>
                </c:pt>
                <c:pt idx="1">
                  <c:v>90000</c:v>
                </c:pt>
              </c:numCache>
            </c:numRef>
          </c:val>
        </c:ser>
        <c:ser>
          <c:idx val="1"/>
          <c:order val="1"/>
          <c:tx>
            <c:strRef>
              <c:f>Sheet1!$C$1</c:f>
              <c:strCache>
                <c:ptCount val="1"/>
                <c:pt idx="0">
                  <c:v>列1</c:v>
                </c:pt>
              </c:strCache>
            </c:strRef>
          </c:tx>
          <c:invertIfNegative val="0"/>
          <c:dLbls>
            <c:delete val="1"/>
          </c:dLbls>
          <c:cat>
            <c:strRef>
              <c:f>Sheet1!$A$2:$A$3</c:f>
              <c:strCache>
                <c:ptCount val="2"/>
                <c:pt idx="0">
                  <c:v>2019年收入</c:v>
                </c:pt>
                <c:pt idx="1">
                  <c:v>2020年收入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2019年收入</c:v>
                </c:pt>
                <c:pt idx="1">
                  <c:v>2020年收入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26284544"/>
        <c:axId val="126310272"/>
      </c:barChart>
      <c:catAx>
        <c:axId val="12628454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310272"/>
        <c:crosses val="autoZero"/>
        <c:auto val="1"/>
        <c:lblAlgn val="ctr"/>
        <c:lblOffset val="100"/>
        <c:noMultiLvlLbl val="0"/>
      </c:catAx>
      <c:valAx>
        <c:axId val="12631027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2845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r>
              <a:rPr lang="zh-CN" altLang="en-US" sz="1300" baseline="0"/>
              <a:t>公务用车运行维护费用支出情况</a:t>
            </a:r>
            <a:endParaRPr lang="zh-CN" altLang="en-US" sz="1300" baseline="0"/>
          </a:p>
        </c:rich>
      </c:tx>
      <c:layout/>
      <c:overlay val="0"/>
    </c:title>
    <c:autoTitleDeleted val="0"/>
    <c:plotArea>
      <c:layout/>
      <c:pieChart>
        <c:varyColors val="1"/>
        <c:ser>
          <c:idx val="0"/>
          <c:order val="0"/>
          <c:tx>
            <c:strRef>
              <c:f>Sheet1!$B$1</c:f>
              <c:strCache>
                <c:ptCount val="1"/>
                <c:pt idx="0">
                  <c:v>公务用车运行维护费用支出情况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公务接待费支出情况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0.5</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2019年支出</c:v>
                </c:pt>
                <c:pt idx="1">
                  <c:v>2020年支出</c:v>
                </c:pt>
              </c:strCache>
            </c:strRef>
          </c:cat>
          <c:val>
            <c:numRef>
              <c:f>Sheet1!$B$2:$B$3</c:f>
              <c:numCache>
                <c:formatCode>General</c:formatCode>
                <c:ptCount val="2"/>
                <c:pt idx="0">
                  <c:v>0</c:v>
                </c:pt>
                <c:pt idx="1">
                  <c:v>90000</c:v>
                </c:pt>
              </c:numCache>
            </c:numRef>
          </c:val>
        </c:ser>
        <c:ser>
          <c:idx val="1"/>
          <c:order val="1"/>
          <c:tx>
            <c:strRef>
              <c:f>Sheet1!$C$1</c:f>
              <c:strCache>
                <c:ptCount val="1"/>
                <c:pt idx="0">
                  <c:v>列1</c:v>
                </c:pt>
              </c:strCache>
            </c:strRef>
          </c:tx>
          <c:invertIfNegative val="0"/>
          <c:dLbls>
            <c:delete val="1"/>
          </c:dLbls>
          <c:cat>
            <c:strRef>
              <c:f>Sheet1!$A$2:$A$3</c:f>
              <c:strCache>
                <c:ptCount val="2"/>
                <c:pt idx="0">
                  <c:v>2019年支出</c:v>
                </c:pt>
                <c:pt idx="1">
                  <c:v>2020年支出</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2019年支出</c:v>
                </c:pt>
                <c:pt idx="1">
                  <c:v>2020年支出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49089664"/>
        <c:axId val="150131840"/>
      </c:barChart>
      <c:catAx>
        <c:axId val="14908966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0131840"/>
        <c:crosses val="autoZero"/>
        <c:auto val="1"/>
        <c:lblAlgn val="ctr"/>
        <c:lblOffset val="100"/>
        <c:noMultiLvlLbl val="0"/>
      </c:catAx>
      <c:valAx>
        <c:axId val="15013184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90896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2020年收入合计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90</c:v>
                </c:pt>
                <c:pt idx="1">
                  <c:v>0</c:v>
                </c:pt>
                <c:pt idx="2">
                  <c:v>0</c:v>
                </c:pt>
                <c:pt idx="3">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2020年支出合计</c:v>
                </c:pt>
              </c:strCache>
            </c:strRef>
          </c:tx>
          <c:explosion val="0"/>
          <c:dPt>
            <c:idx val="0"/>
            <c:bubble3D val="0"/>
          </c:dPt>
          <c:dPt>
            <c:idx val="1"/>
            <c:bubble3D val="0"/>
          </c:dPt>
          <c:dPt>
            <c:idx val="2"/>
            <c:bubble3D val="0"/>
          </c:dPt>
          <c:dPt>
            <c:idx val="3"/>
            <c:bubble3D val="0"/>
          </c:dPt>
          <c:dLbls>
            <c:delete val="1"/>
          </c:dLbls>
          <c:cat>
            <c:strRef>
              <c:f>Sheet1!$A$2:$A$5</c:f>
              <c:strCache>
                <c:ptCount val="3"/>
                <c:pt idx="0">
                  <c:v>基本支出</c:v>
                </c:pt>
                <c:pt idx="1">
                  <c:v>项目支出</c:v>
                </c:pt>
                <c:pt idx="2">
                  <c:v>经营支出</c:v>
                </c:pt>
              </c:strCache>
            </c:strRef>
          </c:cat>
          <c:val>
            <c:numRef>
              <c:f>Sheet1!$B$2:$B$5</c:f>
              <c:numCache>
                <c:formatCode>General</c:formatCode>
                <c:ptCount val="4"/>
                <c:pt idx="0">
                  <c:v>87</c:v>
                </c:pt>
                <c:pt idx="1">
                  <c:v>3</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2019年财政拨款收入</c:v>
                </c:pt>
                <c:pt idx="1">
                  <c:v>2020年财政拨款收入</c:v>
                </c:pt>
              </c:strCache>
            </c:strRef>
          </c:cat>
          <c:val>
            <c:numRef>
              <c:f>Sheet1!$B$2:$B$3</c:f>
              <c:numCache>
                <c:formatCode>General</c:formatCode>
                <c:ptCount val="2"/>
                <c:pt idx="0">
                  <c:v>0</c:v>
                </c:pt>
                <c:pt idx="1">
                  <c:v>90</c:v>
                </c:pt>
              </c:numCache>
            </c:numRef>
          </c:val>
        </c:ser>
        <c:ser>
          <c:idx val="1"/>
          <c:order val="1"/>
          <c:tx>
            <c:strRef>
              <c:f>Sheet1!$C$1</c:f>
              <c:strCache>
                <c:ptCount val="1"/>
                <c:pt idx="0">
                  <c:v>列1</c:v>
                </c:pt>
              </c:strCache>
            </c:strRef>
          </c:tx>
          <c:invertIfNegative val="0"/>
          <c:dLbls>
            <c:delete val="1"/>
          </c:dLbls>
          <c:cat>
            <c:strRef>
              <c:f>Sheet1!$A$2:$A$3</c:f>
              <c:strCache>
                <c:ptCount val="2"/>
                <c:pt idx="0">
                  <c:v>2019年财政拨款收入</c:v>
                </c:pt>
                <c:pt idx="1">
                  <c:v>2020年财政拨款收入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2019年财政拨款收入</c:v>
                </c:pt>
                <c:pt idx="1">
                  <c:v>2020年财政拨款收入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66123392"/>
        <c:axId val="166124928"/>
      </c:barChart>
      <c:catAx>
        <c:axId val="16612339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124928"/>
        <c:crosses val="autoZero"/>
        <c:auto val="1"/>
        <c:lblAlgn val="ctr"/>
        <c:lblOffset val="100"/>
        <c:noMultiLvlLbl val="0"/>
      </c:catAx>
      <c:valAx>
        <c:axId val="16612492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12339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3917819097"/>
          <c:y val="0.0720523893593527"/>
          <c:w val="0.700700248603383"/>
          <c:h val="0.763853838349927"/>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2019年财政拨款支出</c:v>
                </c:pt>
                <c:pt idx="1">
                  <c:v>2020年财政拨款支出</c:v>
                </c:pt>
              </c:strCache>
            </c:strRef>
          </c:cat>
          <c:val>
            <c:numRef>
              <c:f>Sheet1!$B$2:$B$3</c:f>
              <c:numCache>
                <c:formatCode>General</c:formatCode>
                <c:ptCount val="2"/>
                <c:pt idx="0">
                  <c:v>0</c:v>
                </c:pt>
                <c:pt idx="1">
                  <c:v>90</c:v>
                </c:pt>
              </c:numCache>
            </c:numRef>
          </c:val>
        </c:ser>
        <c:dLbls>
          <c:showLegendKey val="0"/>
          <c:showVal val="0"/>
          <c:showCatName val="0"/>
          <c:showSerName val="0"/>
          <c:showPercent val="0"/>
          <c:showBubbleSize val="0"/>
        </c:dLbls>
        <c:gapWidth val="150"/>
        <c:overlap val="100"/>
        <c:axId val="149146240"/>
        <c:axId val="151318912"/>
      </c:barChart>
      <c:catAx>
        <c:axId val="149146240"/>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318912"/>
        <c:crosses val="autoZero"/>
        <c:auto val="1"/>
        <c:lblAlgn val="ctr"/>
        <c:lblOffset val="100"/>
        <c:noMultiLvlLbl val="0"/>
      </c:catAx>
      <c:valAx>
        <c:axId val="15131891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914624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2019年财政拨款支出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0</c:v>
                </c:pt>
              </c:numCache>
            </c:numRef>
          </c:val>
        </c:ser>
        <c:ser>
          <c:idx val="1"/>
          <c:order val="1"/>
          <c:tx>
            <c:strRef>
              <c:f>Sheet1!$C$1</c:f>
              <c:strCache>
                <c:ptCount val="1"/>
                <c:pt idx="0">
                  <c:v>2020年财政拨款支出</c:v>
                </c:pt>
              </c:strCache>
            </c:strRef>
          </c:tx>
          <c:invertIfNegative val="0"/>
          <c:dLbls>
            <c:delete val="1"/>
          </c:dLbls>
          <c:cat>
            <c:numRef>
              <c:f>Sheet1!$A$2</c:f>
              <c:numCache>
                <c:formatCode>General</c:formatCode>
                <c:ptCount val="1"/>
              </c:numCache>
            </c:numRef>
          </c:cat>
          <c:val>
            <c:numRef>
              <c:f>Sheet1!$C$2</c:f>
              <c:numCache>
                <c:formatCode>General</c:formatCode>
                <c:ptCount val="1"/>
                <c:pt idx="0">
                  <c:v>90</c:v>
                </c:pt>
              </c:numCache>
            </c:numRef>
          </c:val>
        </c:ser>
        <c:ser>
          <c:idx val="2"/>
          <c:order val="2"/>
          <c:tx>
            <c:strRef>
              <c:f>Sheet1!$D$1</c:f>
              <c:strCache>
                <c:ptCount val="1"/>
                <c:pt idx="0">
                  <c:v>2020年总支出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90</c:v>
                </c:pt>
              </c:numCache>
            </c:numRef>
          </c:val>
        </c:ser>
        <c:dLbls>
          <c:showLegendKey val="0"/>
          <c:showVal val="0"/>
          <c:showCatName val="0"/>
          <c:showSerName val="0"/>
          <c:showPercent val="0"/>
          <c:showBubbleSize val="0"/>
        </c:dLbls>
        <c:gapWidth val="150"/>
        <c:axId val="159197056"/>
        <c:axId val="159198592"/>
      </c:barChart>
      <c:catAx>
        <c:axId val="15919705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9198592"/>
        <c:crosses val="autoZero"/>
        <c:auto val="1"/>
        <c:lblAlgn val="ctr"/>
        <c:lblOffset val="100"/>
        <c:noMultiLvlLbl val="0"/>
      </c:catAx>
      <c:valAx>
        <c:axId val="15919859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91970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34</Pages>
  <Words>1531</Words>
  <Characters>8729</Characters>
  <Lines>72</Lines>
  <Paragraphs>20</Paragraphs>
  <TotalTime>265</TotalTime>
  <ScaleCrop>false</ScaleCrop>
  <LinksUpToDate>false</LinksUpToDate>
  <CharactersWithSpaces>10240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刘伟莉</cp:lastModifiedBy>
  <cp:lastPrinted>2020-07-28T02:12:00Z</cp:lastPrinted>
  <dcterms:modified xsi:type="dcterms:W3CDTF">2022-01-21T03:12:00Z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B1484DFF33904B30ACE45EFF1BC1CE4C</vt:lpwstr>
  </property>
</Properties>
</file>