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44"/>
          <w:szCs w:val="44"/>
        </w:rPr>
      </w:pPr>
    </w:p>
    <w:p>
      <w:pPr>
        <w:jc w:val="center"/>
        <w:rPr>
          <w:rFonts w:ascii="宋体" w:hAnsi="宋体" w:cs="宋体"/>
          <w:b/>
          <w:bCs/>
          <w:sz w:val="44"/>
          <w:szCs w:val="44"/>
        </w:rPr>
      </w:pPr>
    </w:p>
    <w:p>
      <w:pPr>
        <w:spacing w:line="440" w:lineRule="exact"/>
        <w:jc w:val="center"/>
        <w:rPr>
          <w:rFonts w:ascii="宋体" w:hAnsi="宋体" w:cs="宋体"/>
          <w:b/>
          <w:bCs/>
          <w:sz w:val="44"/>
          <w:szCs w:val="44"/>
        </w:rPr>
      </w:pPr>
    </w:p>
    <w:p>
      <w:pPr>
        <w:spacing w:line="560" w:lineRule="exact"/>
        <w:jc w:val="center"/>
        <w:rPr>
          <w:rFonts w:hint="eastAsia" w:ascii="宋体" w:hAnsi="宋体" w:eastAsia="宋体" w:cs="宋体"/>
          <w:b/>
          <w:bCs/>
          <w:sz w:val="48"/>
          <w:szCs w:val="48"/>
          <w:lang w:val="en-US" w:eastAsia="zh-CN"/>
        </w:rPr>
      </w:pPr>
      <w:r>
        <w:rPr>
          <w:rFonts w:hint="eastAsia" w:ascii="宋体" w:hAnsi="宋体" w:eastAsia="宋体" w:cs="宋体"/>
          <w:b/>
          <w:bCs/>
          <w:sz w:val="48"/>
          <w:szCs w:val="48"/>
          <w:lang w:eastAsia="zh-CN"/>
        </w:rPr>
        <w:t>杨陵</w:t>
      </w:r>
      <w:r>
        <w:rPr>
          <w:rFonts w:hint="eastAsia" w:ascii="宋体" w:hAnsi="宋体" w:eastAsia="宋体" w:cs="宋体"/>
          <w:b/>
          <w:bCs/>
          <w:sz w:val="48"/>
          <w:szCs w:val="48"/>
          <w:lang w:val="en-US" w:eastAsia="zh-CN"/>
        </w:rPr>
        <w:t>区委统战部</w:t>
      </w:r>
      <w:r>
        <w:rPr>
          <w:rFonts w:hint="eastAsia" w:ascii="宋体" w:hAnsi="宋体" w:eastAsia="宋体" w:cs="宋体"/>
          <w:b/>
          <w:bCs/>
          <w:sz w:val="48"/>
          <w:szCs w:val="48"/>
        </w:rPr>
        <w:t>20</w:t>
      </w:r>
      <w:r>
        <w:rPr>
          <w:rFonts w:hint="eastAsia" w:ascii="宋体" w:hAnsi="宋体" w:eastAsia="宋体" w:cs="宋体"/>
          <w:b/>
          <w:bCs/>
          <w:sz w:val="48"/>
          <w:szCs w:val="48"/>
          <w:lang w:val="en-US" w:eastAsia="zh-CN"/>
        </w:rPr>
        <w:t>20</w:t>
      </w:r>
      <w:r>
        <w:rPr>
          <w:rFonts w:hint="eastAsia" w:ascii="宋体" w:hAnsi="宋体" w:eastAsia="宋体" w:cs="宋体"/>
          <w:b/>
          <w:bCs/>
          <w:sz w:val="48"/>
          <w:szCs w:val="48"/>
        </w:rPr>
        <w:t>年部门决算</w:t>
      </w:r>
    </w:p>
    <w:p>
      <w:pPr>
        <w:spacing w:line="560" w:lineRule="exact"/>
        <w:jc w:val="center"/>
        <w:rPr>
          <w:rFonts w:ascii="宋体" w:hAnsi="宋体" w:eastAsia="宋体" w:cs="宋体"/>
          <w:b/>
          <w:bCs/>
          <w:sz w:val="44"/>
          <w:szCs w:val="44"/>
        </w:rPr>
      </w:pPr>
    </w:p>
    <w:p>
      <w:pPr>
        <w:spacing w:line="560" w:lineRule="exact"/>
        <w:jc w:val="center"/>
        <w:rPr>
          <w:rFonts w:ascii="宋体" w:hAnsi="宋体" w:eastAsia="宋体" w:cs="宋体"/>
          <w:b/>
          <w:bCs/>
          <w:sz w:val="44"/>
          <w:szCs w:val="44"/>
        </w:rPr>
      </w:pPr>
    </w:p>
    <w:p>
      <w:pPr>
        <w:spacing w:line="560" w:lineRule="exact"/>
        <w:jc w:val="center"/>
        <w:rPr>
          <w:rFonts w:ascii="宋体" w:hAnsi="宋体" w:eastAsia="宋体" w:cs="宋体"/>
          <w:b/>
          <w:bCs/>
          <w:sz w:val="44"/>
          <w:szCs w:val="44"/>
        </w:rPr>
      </w:pPr>
    </w:p>
    <w:p>
      <w:pPr>
        <w:spacing w:line="560" w:lineRule="exact"/>
        <w:jc w:val="center"/>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hint="eastAsia"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400" w:lineRule="exact"/>
        <w:ind w:firstLine="2570" w:firstLineChars="800"/>
        <w:rPr>
          <w:rFonts w:ascii="宋体" w:hAnsi="宋体" w:eastAsia="宋体" w:cs="宋体"/>
          <w:b/>
          <w:bCs/>
          <w:sz w:val="32"/>
          <w:szCs w:val="32"/>
        </w:rPr>
      </w:pPr>
    </w:p>
    <w:p>
      <w:pPr>
        <w:spacing w:line="400" w:lineRule="exact"/>
        <w:ind w:firstLine="2570" w:firstLineChars="800"/>
        <w:rPr>
          <w:rFonts w:hint="eastAsia" w:ascii="宋体" w:hAnsi="宋体" w:eastAsia="宋体" w:cs="宋体"/>
          <w:b/>
          <w:bCs/>
          <w:sz w:val="32"/>
          <w:szCs w:val="32"/>
        </w:rPr>
      </w:pPr>
    </w:p>
    <w:p>
      <w:pPr>
        <w:spacing w:line="400" w:lineRule="exact"/>
        <w:ind w:firstLine="2088" w:firstLineChars="650"/>
        <w:rPr>
          <w:rFonts w:hint="eastAsia" w:ascii="宋体" w:hAnsi="宋体" w:eastAsia="宋体" w:cs="宋体"/>
          <w:b/>
          <w:bCs/>
          <w:sz w:val="32"/>
          <w:szCs w:val="32"/>
          <w:lang w:val="en-US" w:eastAsia="zh-CN"/>
        </w:rPr>
      </w:pPr>
      <w:r>
        <w:rPr>
          <w:rFonts w:hint="eastAsia" w:ascii="宋体" w:hAnsi="宋体" w:eastAsia="宋体" w:cs="宋体"/>
          <w:b/>
          <w:bCs/>
          <w:sz w:val="32"/>
          <w:szCs w:val="32"/>
        </w:rPr>
        <w:t>保密审查情况：</w:t>
      </w:r>
      <w:r>
        <w:rPr>
          <w:rFonts w:hint="eastAsia" w:ascii="宋体" w:hAnsi="宋体" w:eastAsia="宋体" w:cs="宋体"/>
          <w:b/>
          <w:bCs/>
          <w:sz w:val="32"/>
          <w:szCs w:val="32"/>
          <w:lang w:val="en-US" w:eastAsia="zh-CN"/>
        </w:rPr>
        <w:t>已审查</w:t>
      </w:r>
    </w:p>
    <w:p>
      <w:pPr>
        <w:spacing w:line="400" w:lineRule="exact"/>
        <w:jc w:val="center"/>
        <w:rPr>
          <w:rFonts w:ascii="宋体" w:hAnsi="宋体" w:cs="宋体"/>
          <w:b/>
          <w:bCs/>
          <w:sz w:val="32"/>
          <w:szCs w:val="32"/>
        </w:rPr>
      </w:pPr>
    </w:p>
    <w:p>
      <w:pPr>
        <w:spacing w:line="400" w:lineRule="exact"/>
        <w:ind w:firstLine="2088" w:firstLineChars="650"/>
        <w:rPr>
          <w:rFonts w:hint="eastAsia" w:ascii="宋体" w:hAnsi="宋体" w:eastAsia="宋体" w:cs="宋体"/>
          <w:b/>
          <w:bCs/>
          <w:sz w:val="32"/>
          <w:szCs w:val="32"/>
          <w:lang w:val="en-US" w:eastAsia="zh-CN"/>
        </w:rPr>
      </w:pPr>
      <w:r>
        <w:rPr>
          <w:rFonts w:hint="eastAsia" w:ascii="宋体" w:hAnsi="宋体" w:cs="宋体"/>
          <w:b/>
          <w:bCs/>
          <w:sz w:val="32"/>
          <w:szCs w:val="32"/>
        </w:rPr>
        <w:t>部门主要负责人审签情况：</w:t>
      </w:r>
      <w:r>
        <w:rPr>
          <w:rFonts w:hint="eastAsia" w:ascii="宋体" w:hAnsi="宋体" w:cs="宋体"/>
          <w:b/>
          <w:bCs/>
          <w:sz w:val="32"/>
          <w:szCs w:val="32"/>
          <w:lang w:val="en-US" w:eastAsia="zh-CN"/>
        </w:rPr>
        <w:t>已审签</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spacing w:line="400" w:lineRule="exact"/>
        <w:rPr>
          <w:rFonts w:hint="eastAsia"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jc w:val="center"/>
        <w:rPr>
          <w:rFonts w:ascii="黑体" w:hAnsi="宋体" w:eastAsia="黑体"/>
          <w:bCs/>
          <w:color w:val="000000"/>
          <w:kern w:val="0"/>
          <w:sz w:val="36"/>
          <w:szCs w:val="36"/>
          <w:lang w:bidi="ar"/>
        </w:rPr>
      </w:pPr>
      <w:r>
        <w:rPr>
          <w:rFonts w:ascii="黑体" w:hAnsi="宋体" w:eastAsia="黑体"/>
          <w:b/>
          <w:color w:val="000000"/>
          <w:kern w:val="0"/>
          <w:sz w:val="56"/>
          <w:szCs w:val="56"/>
          <w:lang w:bidi="ar"/>
        </w:rPr>
        <w:br w:type="page"/>
      </w:r>
      <w:r>
        <w:rPr>
          <w:rFonts w:ascii="黑体" w:hAnsi="宋体" w:eastAsia="黑体"/>
          <w:bCs/>
          <w:color w:val="000000"/>
          <w:kern w:val="0"/>
          <w:sz w:val="36"/>
          <w:szCs w:val="36"/>
          <w:lang w:bidi="ar"/>
        </w:rPr>
        <w:t>目</w:t>
      </w:r>
      <w:r>
        <w:rPr>
          <w:rFonts w:hint="eastAsia" w:ascii="黑体" w:hAnsi="宋体" w:eastAsia="黑体"/>
          <w:bCs/>
          <w:color w:val="000000"/>
          <w:kern w:val="0"/>
          <w:sz w:val="36"/>
          <w:szCs w:val="36"/>
          <w:lang w:bidi="ar"/>
        </w:rPr>
        <w:t xml:space="preserve">  </w:t>
      </w:r>
      <w:r>
        <w:rPr>
          <w:rFonts w:ascii="黑体" w:hAnsi="宋体" w:eastAsia="黑体"/>
          <w:bCs/>
          <w:color w:val="000000"/>
          <w:kern w:val="0"/>
          <w:sz w:val="36"/>
          <w:szCs w:val="36"/>
          <w:lang w:bidi="ar"/>
        </w:rPr>
        <w:t>录</w:t>
      </w:r>
    </w:p>
    <w:p>
      <w:pPr>
        <w:widowControl/>
        <w:jc w:val="center"/>
      </w:pPr>
      <w:r>
        <w:rPr>
          <w:rFonts w:hint="eastAsia" w:ascii="黑体" w:hAnsi="宋体" w:eastAsia="黑体"/>
          <w:color w:val="000000"/>
          <w:kern w:val="0"/>
          <w:sz w:val="32"/>
          <w:szCs w:val="32"/>
          <w:lang w:bidi="ar"/>
        </w:rPr>
        <w:t xml:space="preserve">第一部分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部门概况</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一、部门主要职责及内设机构</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二、部门决算单位构成</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三、部门人员情况</w:t>
      </w:r>
    </w:p>
    <w:p>
      <w:pPr>
        <w:widowControl/>
        <w:jc w:val="center"/>
      </w:pPr>
      <w:r>
        <w:rPr>
          <w:rFonts w:hint="eastAsia" w:ascii="黑体" w:hAnsi="宋体" w:eastAsia="黑体"/>
          <w:color w:val="000000"/>
          <w:kern w:val="0"/>
          <w:sz w:val="32"/>
          <w:szCs w:val="32"/>
          <w:lang w:bidi="ar"/>
        </w:rPr>
        <w:t>第二部分  20</w:t>
      </w:r>
      <w:r>
        <w:rPr>
          <w:rFonts w:hint="eastAsia" w:ascii="黑体" w:hAnsi="宋体" w:eastAsia="黑体"/>
          <w:color w:val="000000"/>
          <w:kern w:val="0"/>
          <w:sz w:val="32"/>
          <w:szCs w:val="32"/>
          <w:lang w:val="en-US" w:eastAsia="zh-CN" w:bidi="ar"/>
        </w:rPr>
        <w:t>20</w:t>
      </w:r>
      <w:r>
        <w:rPr>
          <w:rFonts w:hint="eastAsia" w:ascii="黑体" w:hAnsi="宋体" w:eastAsia="黑体"/>
          <w:color w:val="000000"/>
          <w:kern w:val="0"/>
          <w:sz w:val="32"/>
          <w:szCs w:val="32"/>
          <w:lang w:bidi="ar"/>
        </w:rPr>
        <w:t>年部门决算表</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一、收入支出决算总表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二、收入决算表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四、财政拨款收入支出决算总表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五、一般公共预算财政拨款支出决算表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六、一般公共预算财政拨款基本支出决算表    </w:t>
      </w:r>
    </w:p>
    <w:p>
      <w:pPr>
        <w:widowControl/>
        <w:ind w:left="640" w:hanging="640" w:hanging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七、一般公共预算财政拨款“三公”经费及会议费、培训费支出决算表    </w:t>
      </w:r>
    </w:p>
    <w:p>
      <w:pPr>
        <w:widowControl/>
        <w:jc w:val="left"/>
        <w:rPr>
          <w:rFonts w:hint="eastAsia"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八、政府性基金预算财政拨款收入支出决算表</w:t>
      </w:r>
    </w:p>
    <w:p>
      <w:pPr>
        <w:widowControl/>
        <w:jc w:val="left"/>
        <w:rPr>
          <w:rFonts w:hint="default" w:ascii="仿宋" w:hAnsi="仿宋" w:eastAsia="仿宋" w:cs="楷体"/>
          <w:color w:val="000000"/>
          <w:kern w:val="0"/>
          <w:sz w:val="32"/>
          <w:szCs w:val="32"/>
          <w:highlight w:val="none"/>
          <w:lang w:val="en-US" w:eastAsia="zh-CN" w:bidi="ar"/>
        </w:rPr>
      </w:pPr>
      <w:r>
        <w:rPr>
          <w:rFonts w:hint="eastAsia" w:ascii="仿宋" w:hAnsi="仿宋" w:eastAsia="仿宋" w:cs="楷体"/>
          <w:color w:val="000000"/>
          <w:kern w:val="0"/>
          <w:sz w:val="32"/>
          <w:szCs w:val="32"/>
          <w:highlight w:val="none"/>
          <w:lang w:val="en-US" w:eastAsia="zh-CN" w:bidi="ar"/>
        </w:rPr>
        <w:t>九、国有资本经营预算财政拨款支出决算表</w:t>
      </w:r>
    </w:p>
    <w:p>
      <w:pPr>
        <w:widowControl/>
        <w:jc w:val="center"/>
      </w:pPr>
      <w:r>
        <w:rPr>
          <w:rFonts w:hint="eastAsia" w:ascii="黑体" w:hAnsi="宋体" w:eastAsia="黑体"/>
          <w:color w:val="000000"/>
          <w:kern w:val="0"/>
          <w:sz w:val="32"/>
          <w:szCs w:val="32"/>
          <w:lang w:bidi="ar"/>
        </w:rPr>
        <w:t xml:space="preserve">第三部分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20</w:t>
      </w:r>
      <w:r>
        <w:rPr>
          <w:rFonts w:hint="eastAsia" w:ascii="黑体" w:hAnsi="宋体" w:eastAsia="黑体"/>
          <w:color w:val="000000"/>
          <w:kern w:val="0"/>
          <w:sz w:val="32"/>
          <w:szCs w:val="32"/>
          <w:lang w:val="en-US" w:eastAsia="zh-CN" w:bidi="ar"/>
        </w:rPr>
        <w:t>20</w:t>
      </w:r>
      <w:r>
        <w:rPr>
          <w:rFonts w:hint="eastAsia" w:ascii="黑体" w:hAnsi="宋体" w:eastAsia="黑体"/>
          <w:color w:val="000000"/>
          <w:kern w:val="0"/>
          <w:sz w:val="32"/>
          <w:szCs w:val="32"/>
          <w:lang w:bidi="ar"/>
        </w:rPr>
        <w:t>年部门决算情况说明</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一、收入支出决算总体情况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二、收入决算情况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楷体" w:hAnsi="楷体" w:eastAsia="楷体" w:cs="楷体"/>
        </w:rPr>
      </w:pPr>
      <w:r>
        <w:rPr>
          <w:rFonts w:hint="eastAsia" w:ascii="仿宋" w:hAnsi="仿宋" w:eastAsia="仿宋" w:cs="楷体"/>
          <w:color w:val="000000"/>
          <w:kern w:val="0"/>
          <w:sz w:val="32"/>
          <w:szCs w:val="32"/>
          <w:lang w:bidi="ar"/>
        </w:rPr>
        <w:t>四、财政拨款收入支出决算总体情况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r>
        <w:rPr>
          <w:rFonts w:hint="eastAsia" w:ascii="楷体" w:hAnsi="楷体" w:eastAsia="楷体"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五、一般公共预算财政拨款支出决算情况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auto"/>
          <w:kern w:val="0"/>
          <w:sz w:val="32"/>
          <w:szCs w:val="32"/>
          <w:lang w:bidi="ar"/>
        </w:rPr>
      </w:pPr>
      <w:r>
        <w:rPr>
          <w:rFonts w:hint="eastAsia" w:ascii="仿宋" w:hAnsi="仿宋" w:eastAsia="仿宋" w:cs="楷体"/>
          <w:color w:val="auto"/>
          <w:kern w:val="0"/>
          <w:sz w:val="32"/>
          <w:szCs w:val="32"/>
          <w:lang w:bidi="ar"/>
        </w:rPr>
        <w:t>（一）财政拨款支出决算总体情况</w:t>
      </w:r>
      <w:r>
        <w:rPr>
          <w:rFonts w:hint="eastAsia" w:ascii="仿宋" w:hAnsi="仿宋" w:eastAsia="仿宋" w:cs="楷体"/>
          <w:color w:val="auto"/>
          <w:kern w:val="0"/>
          <w:sz w:val="32"/>
          <w:szCs w:val="32"/>
          <w:lang w:eastAsia="zh-CN" w:bidi="ar"/>
        </w:rPr>
        <w:t>说明</w:t>
      </w:r>
      <w:r>
        <w:rPr>
          <w:rFonts w:hint="eastAsia" w:ascii="仿宋" w:hAnsi="仿宋" w:eastAsia="仿宋" w:cs="楷体"/>
          <w:color w:val="auto"/>
          <w:kern w:val="0"/>
          <w:sz w:val="32"/>
          <w:szCs w:val="32"/>
          <w:lang w:bidi="ar"/>
        </w:rPr>
        <w:t xml:space="preserve"> </w:t>
      </w:r>
    </w:p>
    <w:p>
      <w:pPr>
        <w:widowControl/>
        <w:jc w:val="left"/>
        <w:rPr>
          <w:rFonts w:ascii="仿宋" w:hAnsi="仿宋" w:eastAsia="仿宋" w:cs="楷体"/>
          <w:color w:val="auto"/>
          <w:kern w:val="0"/>
          <w:sz w:val="32"/>
          <w:szCs w:val="32"/>
          <w:lang w:bidi="ar"/>
        </w:rPr>
      </w:pPr>
      <w:r>
        <w:rPr>
          <w:rFonts w:hint="eastAsia" w:ascii="仿宋" w:hAnsi="仿宋" w:eastAsia="仿宋" w:cs="楷体"/>
          <w:color w:val="auto"/>
          <w:kern w:val="0"/>
          <w:sz w:val="32"/>
          <w:szCs w:val="32"/>
          <w:lang w:bidi="ar"/>
        </w:rPr>
        <w:t>（二）财政拨款支出决算具体情况</w:t>
      </w:r>
      <w:r>
        <w:rPr>
          <w:rFonts w:hint="eastAsia" w:ascii="仿宋" w:hAnsi="仿宋" w:eastAsia="仿宋" w:cs="楷体"/>
          <w:color w:val="auto"/>
          <w:kern w:val="0"/>
          <w:sz w:val="32"/>
          <w:szCs w:val="32"/>
          <w:lang w:eastAsia="zh-CN" w:bidi="ar"/>
        </w:rPr>
        <w:t>说明</w:t>
      </w:r>
      <w:r>
        <w:rPr>
          <w:rFonts w:hint="eastAsia" w:ascii="仿宋" w:hAnsi="仿宋" w:eastAsia="仿宋" w:cs="楷体"/>
          <w:color w:val="auto"/>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六、一般公共预算财政拨款基本支出决算情况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ind w:left="640" w:hanging="640" w:hanging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七、一般公共预算财政拨款“三公”经费及会议费、培训费支出决算情况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auto"/>
          <w:kern w:val="0"/>
          <w:sz w:val="32"/>
          <w:szCs w:val="32"/>
          <w:lang w:bidi="ar"/>
        </w:rPr>
      </w:pPr>
      <w:r>
        <w:rPr>
          <w:rFonts w:hint="eastAsia" w:ascii="仿宋" w:hAnsi="仿宋" w:eastAsia="仿宋" w:cs="楷体"/>
          <w:color w:val="auto"/>
          <w:kern w:val="0"/>
          <w:sz w:val="32"/>
          <w:szCs w:val="32"/>
          <w:lang w:bidi="ar"/>
        </w:rPr>
        <w:t>（一）“三公”经费财政拨款支出决算总体情况</w:t>
      </w:r>
      <w:r>
        <w:rPr>
          <w:rFonts w:hint="eastAsia" w:ascii="仿宋" w:hAnsi="仿宋" w:eastAsia="仿宋" w:cs="楷体"/>
          <w:color w:val="auto"/>
          <w:kern w:val="0"/>
          <w:sz w:val="32"/>
          <w:szCs w:val="32"/>
          <w:lang w:eastAsia="zh-CN" w:bidi="ar"/>
        </w:rPr>
        <w:t>说明</w:t>
      </w:r>
      <w:r>
        <w:rPr>
          <w:rFonts w:hint="eastAsia" w:ascii="仿宋" w:hAnsi="仿宋" w:eastAsia="仿宋" w:cs="楷体"/>
          <w:color w:val="auto"/>
          <w:kern w:val="0"/>
          <w:sz w:val="32"/>
          <w:szCs w:val="32"/>
          <w:lang w:bidi="ar"/>
        </w:rPr>
        <w:t xml:space="preserve"> </w:t>
      </w:r>
    </w:p>
    <w:p>
      <w:pPr>
        <w:widowControl/>
        <w:jc w:val="left"/>
        <w:rPr>
          <w:rFonts w:ascii="仿宋" w:hAnsi="仿宋" w:eastAsia="仿宋" w:cs="楷体"/>
          <w:color w:val="auto"/>
          <w:kern w:val="0"/>
          <w:sz w:val="32"/>
          <w:szCs w:val="32"/>
          <w:lang w:bidi="ar"/>
        </w:rPr>
      </w:pPr>
      <w:r>
        <w:rPr>
          <w:rFonts w:hint="eastAsia" w:ascii="仿宋" w:hAnsi="仿宋" w:eastAsia="仿宋" w:cs="楷体"/>
          <w:color w:val="auto"/>
          <w:kern w:val="0"/>
          <w:sz w:val="32"/>
          <w:szCs w:val="32"/>
          <w:lang w:bidi="ar"/>
        </w:rPr>
        <w:t>（二）“三公”经费财政拨款支出决算具体情况</w:t>
      </w:r>
      <w:r>
        <w:rPr>
          <w:rFonts w:hint="eastAsia" w:ascii="仿宋" w:hAnsi="仿宋" w:eastAsia="仿宋" w:cs="楷体"/>
          <w:color w:val="auto"/>
          <w:kern w:val="0"/>
          <w:sz w:val="32"/>
          <w:szCs w:val="32"/>
          <w:lang w:eastAsia="zh-CN" w:bidi="ar"/>
        </w:rPr>
        <w:t>说明</w:t>
      </w:r>
      <w:r>
        <w:rPr>
          <w:rFonts w:hint="eastAsia" w:ascii="仿宋" w:hAnsi="仿宋" w:eastAsia="仿宋" w:cs="楷体"/>
          <w:color w:val="auto"/>
          <w:kern w:val="0"/>
          <w:sz w:val="32"/>
          <w:szCs w:val="32"/>
          <w:lang w:bidi="ar"/>
        </w:rPr>
        <w:t xml:space="preserve"> </w:t>
      </w:r>
    </w:p>
    <w:p>
      <w:pPr>
        <w:widowControl/>
        <w:jc w:val="left"/>
        <w:rPr>
          <w:rFonts w:ascii="仿宋" w:hAnsi="仿宋" w:eastAsia="仿宋" w:cs="楷体"/>
          <w:color w:val="auto"/>
          <w:kern w:val="0"/>
          <w:sz w:val="32"/>
          <w:szCs w:val="32"/>
          <w:lang w:bidi="ar"/>
        </w:rPr>
      </w:pPr>
      <w:r>
        <w:rPr>
          <w:rFonts w:hint="eastAsia" w:ascii="仿宋" w:hAnsi="仿宋" w:eastAsia="仿宋" w:cs="楷体"/>
          <w:color w:val="auto"/>
          <w:kern w:val="0"/>
          <w:sz w:val="32"/>
          <w:szCs w:val="32"/>
          <w:lang w:bidi="ar"/>
        </w:rPr>
        <w:t>（三）培训费支出情况</w:t>
      </w:r>
      <w:r>
        <w:rPr>
          <w:rFonts w:hint="eastAsia" w:ascii="仿宋" w:hAnsi="仿宋" w:eastAsia="仿宋" w:cs="楷体"/>
          <w:color w:val="auto"/>
          <w:kern w:val="0"/>
          <w:sz w:val="32"/>
          <w:szCs w:val="32"/>
          <w:lang w:eastAsia="zh-CN" w:bidi="ar"/>
        </w:rPr>
        <w:t>说明</w:t>
      </w:r>
      <w:r>
        <w:rPr>
          <w:rFonts w:hint="eastAsia" w:ascii="仿宋" w:hAnsi="仿宋" w:eastAsia="仿宋" w:cs="楷体"/>
          <w:color w:val="auto"/>
          <w:kern w:val="0"/>
          <w:sz w:val="32"/>
          <w:szCs w:val="32"/>
          <w:lang w:bidi="ar"/>
        </w:rPr>
        <w:t xml:space="preserve"> </w:t>
      </w:r>
    </w:p>
    <w:p>
      <w:pPr>
        <w:widowControl/>
        <w:jc w:val="left"/>
        <w:rPr>
          <w:rFonts w:ascii="仿宋" w:hAnsi="仿宋" w:eastAsia="仿宋" w:cs="楷体"/>
          <w:color w:val="auto"/>
          <w:kern w:val="0"/>
          <w:sz w:val="32"/>
          <w:szCs w:val="32"/>
          <w:lang w:bidi="ar"/>
        </w:rPr>
      </w:pPr>
      <w:r>
        <w:rPr>
          <w:rFonts w:hint="eastAsia" w:ascii="仿宋" w:hAnsi="仿宋" w:eastAsia="仿宋" w:cs="楷体"/>
          <w:color w:val="auto"/>
          <w:kern w:val="0"/>
          <w:sz w:val="32"/>
          <w:szCs w:val="32"/>
          <w:lang w:bidi="ar"/>
        </w:rPr>
        <w:t>（四）会议费支出情况</w:t>
      </w:r>
      <w:r>
        <w:rPr>
          <w:rFonts w:hint="eastAsia" w:ascii="仿宋" w:hAnsi="仿宋" w:eastAsia="仿宋" w:cs="楷体"/>
          <w:color w:val="auto"/>
          <w:kern w:val="0"/>
          <w:sz w:val="32"/>
          <w:szCs w:val="32"/>
          <w:lang w:eastAsia="zh-CN" w:bidi="ar"/>
        </w:rPr>
        <w:t>说明</w:t>
      </w:r>
      <w:r>
        <w:rPr>
          <w:rFonts w:hint="eastAsia" w:ascii="仿宋" w:hAnsi="仿宋" w:eastAsia="仿宋" w:cs="楷体"/>
          <w:color w:val="auto"/>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八、政府性基金预算财政拨款收入支出情况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九、国有资本经营财政拨款收</w:t>
      </w:r>
      <w:r>
        <w:rPr>
          <w:rFonts w:hint="eastAsia" w:ascii="仿宋" w:hAnsi="仿宋" w:eastAsia="仿宋" w:cs="楷体"/>
          <w:color w:val="000000"/>
          <w:kern w:val="0"/>
          <w:sz w:val="32"/>
          <w:szCs w:val="32"/>
          <w:lang w:eastAsia="zh-CN" w:bidi="ar"/>
        </w:rPr>
        <w:t>入</w:t>
      </w:r>
      <w:r>
        <w:rPr>
          <w:rFonts w:hint="eastAsia" w:ascii="仿宋" w:hAnsi="仿宋" w:eastAsia="仿宋" w:cs="楷体"/>
          <w:color w:val="000000"/>
          <w:kern w:val="0"/>
          <w:sz w:val="32"/>
          <w:szCs w:val="32"/>
          <w:lang w:bidi="ar"/>
        </w:rPr>
        <w:t>支</w:t>
      </w:r>
      <w:r>
        <w:rPr>
          <w:rFonts w:hint="eastAsia" w:ascii="仿宋" w:hAnsi="仿宋" w:eastAsia="仿宋" w:cs="楷体"/>
          <w:color w:val="000000"/>
          <w:kern w:val="0"/>
          <w:sz w:val="32"/>
          <w:szCs w:val="32"/>
          <w:lang w:eastAsia="zh-CN" w:bidi="ar"/>
        </w:rPr>
        <w:t>出</w:t>
      </w:r>
      <w:r>
        <w:rPr>
          <w:rFonts w:hint="eastAsia" w:ascii="仿宋" w:hAnsi="仿宋" w:eastAsia="仿宋" w:cs="楷体"/>
          <w:color w:val="000000"/>
          <w:kern w:val="0"/>
          <w:sz w:val="32"/>
          <w:szCs w:val="32"/>
          <w:lang w:bidi="ar"/>
        </w:rPr>
        <w:t>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auto"/>
          <w:kern w:val="0"/>
          <w:sz w:val="32"/>
          <w:szCs w:val="32"/>
          <w:lang w:bidi="ar"/>
        </w:rPr>
      </w:pPr>
      <w:r>
        <w:rPr>
          <w:rFonts w:hint="eastAsia" w:ascii="仿宋" w:hAnsi="仿宋" w:eastAsia="仿宋" w:cs="楷体"/>
          <w:color w:val="auto"/>
          <w:kern w:val="0"/>
          <w:sz w:val="32"/>
          <w:szCs w:val="32"/>
          <w:lang w:val="en-US" w:eastAsia="zh-CN" w:bidi="ar"/>
        </w:rPr>
        <w:t>十、</w:t>
      </w:r>
      <w:r>
        <w:rPr>
          <w:rFonts w:hint="eastAsia" w:ascii="仿宋" w:hAnsi="仿宋" w:eastAsia="仿宋" w:cs="楷体"/>
          <w:color w:val="auto"/>
          <w:kern w:val="0"/>
          <w:sz w:val="32"/>
          <w:szCs w:val="32"/>
          <w:lang w:bidi="ar"/>
        </w:rPr>
        <w:t>机关运行经费支出情况</w:t>
      </w:r>
      <w:r>
        <w:rPr>
          <w:rFonts w:hint="eastAsia" w:ascii="仿宋" w:hAnsi="仿宋" w:eastAsia="仿宋" w:cs="楷体"/>
          <w:color w:val="auto"/>
          <w:kern w:val="0"/>
          <w:sz w:val="32"/>
          <w:szCs w:val="32"/>
          <w:lang w:eastAsia="zh-CN" w:bidi="ar"/>
        </w:rPr>
        <w:t>说明</w:t>
      </w:r>
      <w:r>
        <w:rPr>
          <w:rFonts w:hint="eastAsia" w:ascii="仿宋" w:hAnsi="仿宋" w:eastAsia="仿宋" w:cs="楷体"/>
          <w:color w:val="auto"/>
          <w:kern w:val="0"/>
          <w:sz w:val="32"/>
          <w:szCs w:val="32"/>
          <w:lang w:bidi="ar"/>
        </w:rPr>
        <w:t xml:space="preserve"> </w:t>
      </w:r>
    </w:p>
    <w:p>
      <w:pPr>
        <w:widowControl/>
        <w:jc w:val="left"/>
        <w:rPr>
          <w:rFonts w:ascii="仿宋" w:hAnsi="仿宋" w:eastAsia="仿宋" w:cs="楷体"/>
          <w:color w:val="auto"/>
          <w:kern w:val="0"/>
          <w:sz w:val="32"/>
          <w:szCs w:val="32"/>
          <w:lang w:bidi="ar"/>
        </w:rPr>
      </w:pPr>
      <w:r>
        <w:rPr>
          <w:rFonts w:hint="eastAsia" w:ascii="仿宋" w:hAnsi="仿宋" w:eastAsia="仿宋" w:cs="楷体"/>
          <w:color w:val="auto"/>
          <w:kern w:val="0"/>
          <w:sz w:val="32"/>
          <w:szCs w:val="32"/>
          <w:lang w:val="en-US" w:eastAsia="zh-CN" w:bidi="ar"/>
        </w:rPr>
        <w:t>十一、</w:t>
      </w:r>
      <w:r>
        <w:rPr>
          <w:rFonts w:hint="eastAsia" w:ascii="仿宋" w:hAnsi="仿宋" w:eastAsia="仿宋" w:cs="楷体"/>
          <w:color w:val="auto"/>
          <w:kern w:val="0"/>
          <w:sz w:val="32"/>
          <w:szCs w:val="32"/>
          <w:lang w:bidi="ar"/>
        </w:rPr>
        <w:t>政府采购支出情况</w:t>
      </w:r>
      <w:r>
        <w:rPr>
          <w:rFonts w:hint="eastAsia" w:ascii="仿宋" w:hAnsi="仿宋" w:eastAsia="仿宋" w:cs="楷体"/>
          <w:color w:val="auto"/>
          <w:kern w:val="0"/>
          <w:sz w:val="32"/>
          <w:szCs w:val="32"/>
          <w:lang w:eastAsia="zh-CN" w:bidi="ar"/>
        </w:rPr>
        <w:t>说明</w:t>
      </w:r>
      <w:r>
        <w:rPr>
          <w:rFonts w:hint="eastAsia" w:ascii="仿宋" w:hAnsi="仿宋" w:eastAsia="仿宋" w:cs="楷体"/>
          <w:color w:val="auto"/>
          <w:kern w:val="0"/>
          <w:sz w:val="32"/>
          <w:szCs w:val="32"/>
          <w:lang w:bidi="ar"/>
        </w:rPr>
        <w:t xml:space="preserve"> </w:t>
      </w:r>
    </w:p>
    <w:p>
      <w:pPr>
        <w:widowControl/>
        <w:jc w:val="left"/>
        <w:rPr>
          <w:rFonts w:ascii="仿宋" w:hAnsi="仿宋" w:eastAsia="仿宋" w:cs="楷体"/>
          <w:color w:val="auto"/>
          <w:kern w:val="0"/>
          <w:sz w:val="32"/>
          <w:szCs w:val="32"/>
          <w:lang w:bidi="ar"/>
        </w:rPr>
      </w:pPr>
      <w:r>
        <w:rPr>
          <w:rFonts w:hint="eastAsia" w:ascii="仿宋" w:hAnsi="仿宋" w:eastAsia="仿宋" w:cs="楷体"/>
          <w:color w:val="auto"/>
          <w:kern w:val="0"/>
          <w:sz w:val="32"/>
          <w:szCs w:val="32"/>
          <w:lang w:val="en-US" w:eastAsia="zh-CN" w:bidi="ar"/>
        </w:rPr>
        <w:t>十二、</w:t>
      </w:r>
      <w:r>
        <w:rPr>
          <w:rFonts w:hint="eastAsia" w:ascii="仿宋" w:hAnsi="仿宋" w:eastAsia="仿宋" w:cs="楷体"/>
          <w:color w:val="auto"/>
          <w:kern w:val="0"/>
          <w:sz w:val="32"/>
          <w:szCs w:val="32"/>
          <w:lang w:bidi="ar"/>
        </w:rPr>
        <w:t>国有资产占用及购置情况</w:t>
      </w:r>
      <w:r>
        <w:rPr>
          <w:rFonts w:hint="eastAsia" w:ascii="仿宋" w:hAnsi="仿宋" w:eastAsia="仿宋" w:cs="楷体"/>
          <w:color w:val="auto"/>
          <w:kern w:val="0"/>
          <w:sz w:val="32"/>
          <w:szCs w:val="32"/>
          <w:lang w:eastAsia="zh-CN" w:bidi="ar"/>
        </w:rPr>
        <w:t>说明</w:t>
      </w:r>
      <w:r>
        <w:rPr>
          <w:rFonts w:hint="eastAsia" w:ascii="仿宋" w:hAnsi="仿宋" w:eastAsia="仿宋" w:cs="楷体"/>
          <w:color w:val="auto"/>
          <w:kern w:val="0"/>
          <w:sz w:val="32"/>
          <w:szCs w:val="32"/>
          <w:lang w:bidi="ar"/>
        </w:rPr>
        <w:t xml:space="preserve"> </w:t>
      </w:r>
    </w:p>
    <w:p>
      <w:pPr>
        <w:widowControl/>
        <w:jc w:val="left"/>
        <w:rPr>
          <w:rFonts w:ascii="仿宋" w:hAnsi="仿宋" w:eastAsia="仿宋" w:cs="楷体"/>
          <w:color w:val="auto"/>
          <w:kern w:val="0"/>
          <w:sz w:val="32"/>
          <w:szCs w:val="32"/>
          <w:lang w:bidi="ar"/>
        </w:rPr>
      </w:pPr>
      <w:r>
        <w:rPr>
          <w:rFonts w:hint="eastAsia" w:ascii="仿宋" w:hAnsi="仿宋" w:eastAsia="仿宋" w:cs="楷体"/>
          <w:color w:val="auto"/>
          <w:kern w:val="0"/>
          <w:sz w:val="32"/>
          <w:szCs w:val="32"/>
          <w:lang w:bidi="ar"/>
        </w:rPr>
        <w:t>十</w:t>
      </w:r>
      <w:r>
        <w:rPr>
          <w:rFonts w:hint="eastAsia" w:ascii="仿宋" w:hAnsi="仿宋" w:eastAsia="仿宋" w:cs="楷体"/>
          <w:color w:val="auto"/>
          <w:kern w:val="0"/>
          <w:sz w:val="32"/>
          <w:szCs w:val="32"/>
          <w:lang w:val="en-US" w:eastAsia="zh-CN" w:bidi="ar"/>
        </w:rPr>
        <w:t>三</w:t>
      </w:r>
      <w:r>
        <w:rPr>
          <w:rFonts w:hint="eastAsia" w:ascii="仿宋" w:hAnsi="仿宋" w:eastAsia="仿宋" w:cs="楷体"/>
          <w:color w:val="auto"/>
          <w:kern w:val="0"/>
          <w:sz w:val="32"/>
          <w:szCs w:val="32"/>
          <w:lang w:bidi="ar"/>
        </w:rPr>
        <w:t>、预算绩效情况</w:t>
      </w:r>
      <w:r>
        <w:rPr>
          <w:rFonts w:hint="eastAsia" w:ascii="仿宋" w:hAnsi="仿宋" w:eastAsia="仿宋" w:cs="楷体"/>
          <w:color w:val="auto"/>
          <w:kern w:val="0"/>
          <w:sz w:val="32"/>
          <w:szCs w:val="32"/>
          <w:lang w:eastAsia="zh-CN" w:bidi="ar"/>
        </w:rPr>
        <w:t>说明</w:t>
      </w:r>
      <w:r>
        <w:rPr>
          <w:rFonts w:hint="eastAsia" w:ascii="仿宋" w:hAnsi="仿宋" w:eastAsia="仿宋" w:cs="楷体"/>
          <w:color w:val="auto"/>
          <w:kern w:val="0"/>
          <w:sz w:val="32"/>
          <w:szCs w:val="32"/>
          <w:lang w:bidi="ar"/>
        </w:rPr>
        <w:t xml:space="preserve"> </w:t>
      </w:r>
    </w:p>
    <w:p>
      <w:pPr>
        <w:widowControl/>
        <w:jc w:val="left"/>
        <w:rPr>
          <w:rFonts w:ascii="仿宋" w:hAnsi="仿宋" w:eastAsia="仿宋" w:cs="楷体"/>
          <w:color w:val="auto"/>
          <w:kern w:val="0"/>
          <w:sz w:val="32"/>
          <w:szCs w:val="32"/>
          <w:lang w:bidi="ar"/>
        </w:rPr>
      </w:pPr>
      <w:r>
        <w:rPr>
          <w:rFonts w:hint="eastAsia" w:ascii="仿宋" w:hAnsi="仿宋" w:eastAsia="仿宋" w:cs="楷体"/>
          <w:color w:val="auto"/>
          <w:kern w:val="0"/>
          <w:sz w:val="32"/>
          <w:szCs w:val="32"/>
          <w:lang w:bidi="ar"/>
        </w:rPr>
        <w:t>（一）预算绩效管理工作开展情况</w:t>
      </w:r>
      <w:r>
        <w:rPr>
          <w:rFonts w:hint="eastAsia" w:ascii="仿宋" w:hAnsi="仿宋" w:eastAsia="仿宋" w:cs="楷体"/>
          <w:color w:val="auto"/>
          <w:kern w:val="0"/>
          <w:sz w:val="32"/>
          <w:szCs w:val="32"/>
          <w:lang w:eastAsia="zh-CN" w:bidi="ar"/>
        </w:rPr>
        <w:t>说明</w:t>
      </w:r>
      <w:r>
        <w:rPr>
          <w:rFonts w:hint="eastAsia" w:ascii="仿宋" w:hAnsi="仿宋" w:eastAsia="仿宋" w:cs="楷体"/>
          <w:color w:val="auto"/>
          <w:kern w:val="0"/>
          <w:sz w:val="32"/>
          <w:szCs w:val="32"/>
          <w:lang w:bidi="ar"/>
        </w:rPr>
        <w:t xml:space="preserve">     </w:t>
      </w:r>
    </w:p>
    <w:p>
      <w:pPr>
        <w:widowControl/>
        <w:jc w:val="left"/>
        <w:rPr>
          <w:rFonts w:ascii="仿宋" w:hAnsi="仿宋" w:eastAsia="仿宋" w:cs="楷体"/>
          <w:color w:val="auto"/>
          <w:kern w:val="0"/>
          <w:sz w:val="32"/>
          <w:szCs w:val="32"/>
          <w:lang w:bidi="ar"/>
        </w:rPr>
      </w:pPr>
      <w:r>
        <w:rPr>
          <w:rFonts w:hint="eastAsia" w:ascii="仿宋" w:hAnsi="仿宋" w:eastAsia="仿宋" w:cs="楷体"/>
          <w:color w:val="auto"/>
          <w:kern w:val="0"/>
          <w:sz w:val="32"/>
          <w:szCs w:val="32"/>
          <w:lang w:bidi="ar"/>
        </w:rPr>
        <w:t>（二）部门决算中项目绩效自评结果</w:t>
      </w:r>
    </w:p>
    <w:p>
      <w:pPr>
        <w:jc w:val="center"/>
        <w:rPr>
          <w:rFonts w:ascii="宋体" w:hAnsi="宋体" w:cs="宋体"/>
          <w:b/>
          <w:bCs/>
          <w:sz w:val="44"/>
          <w:szCs w:val="44"/>
        </w:rPr>
      </w:pPr>
      <w:r>
        <w:rPr>
          <w:rFonts w:hint="eastAsia" w:ascii="黑体" w:hAnsi="宋体" w:eastAsia="黑体"/>
          <w:color w:val="000000"/>
          <w:kern w:val="0"/>
          <w:sz w:val="32"/>
          <w:szCs w:val="32"/>
          <w:lang w:bidi="ar"/>
        </w:rPr>
        <w:t>第四部分 专业名词解释</w:t>
      </w:r>
    </w:p>
    <w:p>
      <w:pPr>
        <w:jc w:val="center"/>
        <w:rPr>
          <w:rFonts w:ascii="黑体" w:hAnsi="宋体" w:eastAsia="黑体"/>
          <w:color w:val="000000"/>
          <w:kern w:val="0"/>
          <w:sz w:val="44"/>
          <w:szCs w:val="44"/>
          <w:lang w:bidi="ar"/>
        </w:rPr>
      </w:pPr>
      <w:r>
        <w:rPr>
          <w:rFonts w:hint="eastAsia" w:ascii="黑体" w:hAnsi="宋体" w:eastAsia="黑体"/>
          <w:color w:val="000000"/>
          <w:kern w:val="0"/>
          <w:sz w:val="44"/>
          <w:szCs w:val="44"/>
          <w:lang w:bidi="ar"/>
        </w:rPr>
        <w:t>第一部分 部门</w:t>
      </w:r>
      <w:r>
        <w:rPr>
          <w:rFonts w:ascii="黑体" w:hAnsi="宋体" w:eastAsia="黑体"/>
          <w:color w:val="000000"/>
          <w:kern w:val="0"/>
          <w:sz w:val="44"/>
          <w:szCs w:val="44"/>
          <w:lang w:bidi="ar"/>
        </w:rPr>
        <w:t>概况</w:t>
      </w:r>
    </w:p>
    <w:p>
      <w:pPr>
        <w:widowControl/>
        <w:ind w:firstLine="640" w:firstLineChars="200"/>
        <w:jc w:val="left"/>
        <w:rPr>
          <w:rFonts w:ascii="黑体" w:hAnsi="宋体" w:eastAsia="黑体"/>
          <w:color w:val="000000"/>
          <w:kern w:val="0"/>
          <w:sz w:val="32"/>
          <w:szCs w:val="32"/>
          <w:lang w:bidi="ar"/>
        </w:rPr>
      </w:pPr>
      <w:r>
        <w:rPr>
          <w:rFonts w:hint="eastAsia" w:ascii="黑体" w:hAnsi="宋体" w:eastAsia="黑体"/>
          <w:color w:val="000000"/>
          <w:kern w:val="0"/>
          <w:sz w:val="32"/>
          <w:szCs w:val="32"/>
          <w:lang w:bidi="ar"/>
        </w:rPr>
        <w:t>一、部门主要职责及内设机构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color w:val="000000"/>
          <w:kern w:val="0"/>
          <w:sz w:val="32"/>
          <w:szCs w:val="32"/>
          <w:lang w:eastAsia="zh-CN" w:bidi="ar"/>
        </w:rPr>
      </w:pPr>
      <w:r>
        <w:rPr>
          <w:rFonts w:hint="eastAsia" w:ascii="楷体" w:hAnsi="楷体" w:eastAsia="楷体" w:cs="楷体"/>
          <w:b/>
          <w:bCs/>
          <w:color w:val="000000"/>
          <w:kern w:val="0"/>
          <w:sz w:val="32"/>
          <w:szCs w:val="32"/>
          <w:lang w:bidi="ar"/>
        </w:rPr>
        <w:t>（一）主要职责</w:t>
      </w:r>
      <w:r>
        <w:rPr>
          <w:rFonts w:hint="eastAsia" w:ascii="楷体" w:hAnsi="楷体" w:eastAsia="楷体" w:cs="楷体"/>
          <w:b/>
          <w:bCs/>
          <w:color w:val="000000"/>
          <w:kern w:val="0"/>
          <w:sz w:val="32"/>
          <w:szCs w:val="32"/>
          <w:lang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贯彻落实加强党对统一战线工作集中统一领导的要求，协调统一战线各方面关系，组织和落实示范区党工委和区委关于统一战线工作重大决策部署，巩固壮大最广泛的统一战线。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负责统一战线工作的调查研究，向区委反映统一战线工作全面情况并提出建议，统筹协调和指导各部门、单位统一战线工作。贯彻落实党的宣传工作方针，统筹推进全区统一战线宣传工作，研判涉及统一战线的奥情并协调有关部门应对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负责发现、培养党外代表人士，协助区级各民主党派、区工商联做好干部管理工作。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负责联系各民主党派，通报情况，反映意见，支持、帮助民主党派加强自身建设，做好支持民主党派履行职责、发挥作用的工作。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负责开展以促进祖国和平统一为重点的海外统战工作;联系香港、澳门、台湾有关党派、团体及代表人士，做好在区台胞、台属有关工作。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参与制定、推动落实鼓励支持引导非公有制经济发展的政策措施，调查研究我区非公有制经济人士情况并提出建议，团结、服务、引导、教育非公有制经济人士，促进非公有制经济健康发展和非公有制经济人士健康成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负责联系、培养无党派代表人士，支持、帮助无党派人士加强自身建设、发挥作用。调查研究党外知识分子和新的社会阶层人士情况并提出建议，联系、培养党外知识分子和新的社会阶层代表人士，开展思想政治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贯彻执行党和国家关于民族、宗教工作的方针、政策和法规，认真落实省级民族和宗教工作的政策、部署和指示。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协调处理民族关系中的问题，促进各民族间的平等团结、互助合作。依法履行宗教事务监督管理职责。推动民族和宗教界人士进行爱国主义、社会主义、维护祖国统一和民族团结的教育。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引导、促进宗教在法律、法规和政策范围内活动，防范利用宗教进行非法、违法活动，抵御境外利用宗教进行渗透活动。指导宗教团体依法依章开展活动，支持宗教团体加强自身建设。负责对民族宗教重大工作事中事后的监督检查;收集、分析和研究涉及民族宗教领城安全稳定信息，协调处理涉及民族宗教方面的突发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贯彻落实党的侨务工作方针政策，统一管理侨务行政事务。联系海外有关侨团和代表人士，依法维护华侨和归侨侨眷合法权益。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完成上级部门和区委交办的其他任务。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color w:val="000000"/>
          <w:kern w:val="0"/>
          <w:sz w:val="32"/>
          <w:szCs w:val="32"/>
          <w:lang w:eastAsia="zh-CN" w:bidi="ar"/>
        </w:rPr>
      </w:pPr>
      <w:r>
        <w:rPr>
          <w:rFonts w:hint="eastAsia" w:ascii="楷体" w:hAnsi="楷体" w:eastAsia="楷体" w:cs="楷体"/>
          <w:b/>
          <w:bCs/>
          <w:color w:val="000000"/>
          <w:kern w:val="0"/>
          <w:sz w:val="32"/>
          <w:szCs w:val="32"/>
          <w:lang w:bidi="ar"/>
        </w:rPr>
        <w:t>（二）内设机构</w:t>
      </w:r>
      <w:r>
        <w:rPr>
          <w:rFonts w:hint="eastAsia" w:ascii="楷体" w:hAnsi="楷体" w:eastAsia="楷体" w:cs="楷体"/>
          <w:b/>
          <w:bCs/>
          <w:color w:val="000000"/>
          <w:kern w:val="0"/>
          <w:sz w:val="32"/>
          <w:szCs w:val="32"/>
          <w:lang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区委统战部是区委主管全区统一战线工作的职能部门，加挂区民族宗教事务局、区人民政府侨务办公室牌子，与工商联合署办公。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rPr>
      </w:pPr>
      <w:r>
        <w:rPr>
          <w:rFonts w:ascii="黑体" w:hAnsi="宋体" w:eastAsia="黑体"/>
          <w:color w:val="000000"/>
          <w:kern w:val="0"/>
          <w:sz w:val="32"/>
          <w:szCs w:val="32"/>
          <w:lang w:bidi="ar"/>
        </w:rPr>
        <w:t>二、</w:t>
      </w:r>
      <w:r>
        <w:rPr>
          <w:rFonts w:hint="eastAsia" w:ascii="黑体" w:hAnsi="宋体" w:eastAsia="黑体"/>
          <w:color w:val="000000"/>
          <w:kern w:val="0"/>
          <w:sz w:val="32"/>
          <w:szCs w:val="32"/>
          <w:lang w:bidi="ar"/>
        </w:rPr>
        <w:t>部门决算单位构成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纳入20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年本部门决算编制范围的单位共</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个，包括本级</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w:t>
      </w:r>
      <w:r>
        <w:rPr>
          <w:rFonts w:ascii="仿宋_GB2312" w:hAnsi="仿宋_GB2312" w:eastAsia="仿宋_GB2312" w:cs="仿宋_GB2312"/>
          <w:color w:val="000000"/>
          <w:kern w:val="0"/>
          <w:sz w:val="31"/>
          <w:szCs w:val="31"/>
          <w:lang w:bidi="ar"/>
        </w:rPr>
        <w:t>二级预算</w:t>
      </w:r>
      <w:r>
        <w:rPr>
          <w:rFonts w:hint="eastAsia" w:ascii="仿宋_GB2312" w:hAnsi="仿宋_GB2312" w:eastAsia="仿宋_GB2312" w:cs="仿宋_GB2312"/>
          <w:sz w:val="32"/>
          <w:szCs w:val="32"/>
        </w:rPr>
        <w:t>单位：</w:t>
      </w:r>
    </w:p>
    <w:tbl>
      <w:tblPr>
        <w:tblStyle w:val="7"/>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7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序号</w:t>
            </w:r>
          </w:p>
        </w:tc>
        <w:tc>
          <w:tcPr>
            <w:tcW w:w="72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72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中共杨陵区委统战部</w:t>
            </w:r>
            <w:r>
              <w:rPr>
                <w:rFonts w:hint="eastAsia" w:ascii="仿宋_GB2312" w:hAnsi="仿宋_GB2312" w:eastAsia="仿宋_GB2312" w:cs="仿宋_GB2312"/>
                <w:sz w:val="32"/>
                <w:szCs w:val="32"/>
              </w:rPr>
              <w:t>本级（机关）</w:t>
            </w:r>
          </w:p>
        </w:tc>
      </w:tr>
    </w:tbl>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黑体" w:hAnsi="黑体" w:eastAsia="黑体"/>
          <w:b/>
          <w:bCs/>
          <w:sz w:val="32"/>
          <w:szCs w:val="32"/>
        </w:rPr>
      </w:pPr>
      <w:r>
        <w:rPr>
          <w:rFonts w:hint="eastAsia" w:ascii="黑体" w:hAnsi="黑体" w:eastAsia="黑体"/>
          <w:b/>
          <w:bCs/>
          <w:sz w:val="32"/>
          <w:szCs w:val="32"/>
        </w:rPr>
        <w:t>三、部门人员情况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截止20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年底，本部门人员编制</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人，其中行政编制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人、事业编制</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人；实有人员</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人，其中行政</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人、事业</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人。单位管理的离退休人员</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人。</w:t>
      </w:r>
    </w:p>
    <w:p>
      <w:pPr>
        <w:ind w:firstLine="64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object>
          <v:shape id="_x0000_i1025" o:spt="75" type="#_x0000_t75" style="height:200.8pt;width:312.75pt;" o:ole="t" filled="f" o:preferrelative="t" stroked="f" coordsize="21600,21600">
            <v:path/>
            <v:fill on="f" focussize="0,0"/>
            <v:stroke on="f"/>
            <v:imagedata r:id="rId12" o:title=""/>
            <o:lock v:ext="edit" aspectratio="t"/>
            <w10:wrap type="none"/>
            <w10:anchorlock/>
          </v:shape>
          <o:OLEObject Type="Embed" ProgID="Excel.Chart.8" ShapeID="_x0000_i1025" DrawAspect="Content" ObjectID="_1468075725" r:id="rId11">
            <o:LockedField>false</o:LockedField>
          </o:OLEObject>
        </w:object>
      </w:r>
    </w:p>
    <w:p>
      <w:pPr>
        <w:widowControl/>
        <w:jc w:val="center"/>
        <w:rPr>
          <w:rFonts w:ascii="黑体" w:hAnsi="宋体" w:eastAsia="黑体"/>
          <w:color w:val="000000"/>
          <w:kern w:val="0"/>
          <w:sz w:val="44"/>
          <w:szCs w:val="44"/>
          <w:lang w:bidi="ar"/>
        </w:rPr>
      </w:pPr>
    </w:p>
    <w:p>
      <w:pPr>
        <w:widowControl/>
        <w:jc w:val="center"/>
        <w:rPr>
          <w:rFonts w:ascii="黑体" w:hAnsi="宋体" w:eastAsia="黑体"/>
          <w:color w:val="000000"/>
          <w:kern w:val="0"/>
          <w:sz w:val="44"/>
          <w:szCs w:val="44"/>
          <w:lang w:bidi="ar"/>
        </w:rPr>
      </w:pPr>
    </w:p>
    <w:p>
      <w:pPr>
        <w:widowControl/>
        <w:jc w:val="center"/>
        <w:rPr>
          <w:rFonts w:ascii="黑体" w:hAnsi="宋体" w:eastAsia="黑体"/>
          <w:color w:val="000000"/>
          <w:kern w:val="0"/>
          <w:sz w:val="44"/>
          <w:szCs w:val="44"/>
          <w:lang w:bidi="ar"/>
        </w:rPr>
      </w:pPr>
    </w:p>
    <w:p>
      <w:pPr>
        <w:widowControl/>
        <w:jc w:val="center"/>
        <w:rPr>
          <w:rFonts w:ascii="黑体" w:hAnsi="宋体" w:eastAsia="黑体"/>
          <w:color w:val="000000"/>
          <w:kern w:val="0"/>
          <w:sz w:val="44"/>
          <w:szCs w:val="44"/>
          <w:lang w:bidi="ar"/>
        </w:rPr>
      </w:pPr>
    </w:p>
    <w:p>
      <w:pPr>
        <w:widowControl/>
        <w:jc w:val="center"/>
        <w:rPr>
          <w:sz w:val="44"/>
          <w:szCs w:val="44"/>
        </w:rPr>
      </w:pPr>
      <w:r>
        <w:rPr>
          <w:rFonts w:ascii="黑体" w:hAnsi="宋体" w:eastAsia="黑体"/>
          <w:color w:val="000000"/>
          <w:kern w:val="0"/>
          <w:sz w:val="44"/>
          <w:szCs w:val="44"/>
          <w:lang w:bidi="ar"/>
        </w:rPr>
        <w:t>第二部分 20</w:t>
      </w:r>
      <w:r>
        <w:rPr>
          <w:rFonts w:hint="eastAsia" w:ascii="黑体" w:hAnsi="宋体" w:eastAsia="黑体"/>
          <w:color w:val="000000"/>
          <w:kern w:val="0"/>
          <w:sz w:val="44"/>
          <w:szCs w:val="44"/>
          <w:lang w:val="en-US" w:eastAsia="zh-CN" w:bidi="ar"/>
        </w:rPr>
        <w:t>20</w:t>
      </w:r>
      <w:r>
        <w:rPr>
          <w:rFonts w:ascii="黑体" w:hAnsi="宋体" w:eastAsia="黑体"/>
          <w:color w:val="000000"/>
          <w:kern w:val="0"/>
          <w:sz w:val="44"/>
          <w:szCs w:val="44"/>
          <w:lang w:bidi="ar"/>
        </w:rPr>
        <w:t>年度部门决算表</w:t>
      </w:r>
    </w:p>
    <w:tbl>
      <w:tblPr>
        <w:tblStyle w:val="6"/>
        <w:tblpPr w:leftFromText="180" w:rightFromText="180" w:vertAnchor="text" w:horzAnchor="page" w:tblpX="1472" w:tblpY="1123"/>
        <w:tblOverlap w:val="never"/>
        <w:tblW w:w="9000" w:type="dxa"/>
        <w:tblInd w:w="0" w:type="dxa"/>
        <w:tblLayout w:type="fixed"/>
        <w:tblCellMar>
          <w:top w:w="0" w:type="dxa"/>
          <w:left w:w="0" w:type="dxa"/>
          <w:bottom w:w="0" w:type="dxa"/>
          <w:right w:w="0" w:type="dxa"/>
        </w:tblCellMar>
      </w:tblPr>
      <w:tblGrid>
        <w:gridCol w:w="735"/>
        <w:gridCol w:w="4110"/>
        <w:gridCol w:w="1047"/>
        <w:gridCol w:w="3108"/>
      </w:tblGrid>
      <w:tr>
        <w:tblPrEx>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序号</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内容</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黑体" w:hAnsi="宋体" w:eastAsia="黑体"/>
                <w:color w:val="000000"/>
                <w:kern w:val="0"/>
                <w:sz w:val="24"/>
                <w:lang w:bidi="ar"/>
              </w:rPr>
            </w:pPr>
            <w:r>
              <w:rPr>
                <w:rFonts w:hint="eastAsia" w:ascii="黑体" w:hAnsi="宋体" w:eastAsia="黑体"/>
                <w:color w:val="000000"/>
                <w:kern w:val="0"/>
                <w:sz w:val="24"/>
                <w:lang w:bidi="ar"/>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空表</w:t>
            </w:r>
          </w:p>
        </w:tc>
        <w:tc>
          <w:tcPr>
            <w:tcW w:w="3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eastAsia="zh-CN" w:bidi="ar"/>
              </w:rPr>
              <w:t>表格为空的</w:t>
            </w:r>
            <w:r>
              <w:rPr>
                <w:rFonts w:hint="eastAsia" w:ascii="黑体" w:hAnsi="宋体" w:eastAsia="黑体"/>
                <w:color w:val="000000"/>
                <w:kern w:val="0"/>
                <w:sz w:val="24"/>
                <w:lang w:bidi="ar"/>
              </w:rPr>
              <w:t>理由</w:t>
            </w: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表1</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收入支出决算总表</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表2</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收入决算表</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表3</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支出决算表</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表4</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财政拨款收入支出决算总表</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表5</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一般公共预算财政拨款支出决算表</w:t>
            </w:r>
          </w:p>
          <w:p>
            <w:pPr>
              <w:widowControl/>
              <w:jc w:val="left"/>
              <w:rPr>
                <w:rFonts w:ascii="宋体" w:hAnsi="宋体" w:cs="宋体"/>
                <w:color w:val="000000"/>
                <w:kern w:val="0"/>
                <w:sz w:val="24"/>
                <w:lang w:bidi="ar"/>
              </w:rPr>
            </w:pPr>
            <w:r>
              <w:rPr>
                <w:rFonts w:hint="eastAsia" w:ascii="宋体" w:hAnsi="宋体" w:cs="宋体"/>
                <w:color w:val="000000"/>
                <w:kern w:val="0"/>
                <w:sz w:val="24"/>
                <w:lang w:bidi="ar"/>
              </w:rPr>
              <w:t>（按功能分类科目）</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表6</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一般公共预算财政拨款基本支出决算表 （按经济分类科目）</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表7</w:t>
            </w:r>
          </w:p>
        </w:tc>
        <w:tc>
          <w:tcPr>
            <w:tcW w:w="411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一般公共预算财政拨款“三公”经费及会议费、培训费支出决算表</w:t>
            </w:r>
          </w:p>
        </w:tc>
        <w:tc>
          <w:tcPr>
            <w:tcW w:w="1047"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表8</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宋体" w:hAnsi="宋体" w:cs="宋体"/>
                <w:color w:val="000000"/>
                <w:kern w:val="0"/>
                <w:sz w:val="24"/>
                <w:lang w:bidi="ar"/>
              </w:rPr>
            </w:pPr>
            <w:r>
              <w:rPr>
                <w:rFonts w:hint="eastAsia" w:ascii="宋体" w:hAnsi="宋体" w:cs="宋体"/>
                <w:color w:val="000000"/>
                <w:kern w:val="0"/>
                <w:sz w:val="24"/>
                <w:lang w:bidi="ar"/>
              </w:rPr>
              <w:t>政府性基金预算财政拨款收入支出</w:t>
            </w:r>
          </w:p>
          <w:p>
            <w:pPr>
              <w:widowControl/>
              <w:jc w:val="left"/>
              <w:rPr>
                <w:rFonts w:ascii="宋体" w:hAnsi="宋体" w:cs="宋体"/>
                <w:color w:val="000000"/>
                <w:sz w:val="24"/>
              </w:rPr>
            </w:pPr>
            <w:r>
              <w:rPr>
                <w:rFonts w:hint="eastAsia" w:ascii="宋体" w:hAnsi="宋体" w:cs="宋体"/>
                <w:color w:val="000000"/>
                <w:kern w:val="0"/>
                <w:sz w:val="24"/>
                <w:lang w:bidi="ar"/>
              </w:rPr>
              <w:t>决算表</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是</w:t>
            </w:r>
          </w:p>
        </w:tc>
        <w:tc>
          <w:tcPr>
            <w:tcW w:w="3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val="en-US" w:eastAsia="zh-CN"/>
              </w:rPr>
              <w:t>本单位无政府性基金</w:t>
            </w: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表9</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cs="宋体"/>
                <w:color w:val="000000"/>
                <w:kern w:val="0"/>
                <w:sz w:val="24"/>
                <w:highlight w:val="none"/>
                <w:lang w:val="en-US" w:eastAsia="zh-CN" w:bidi="ar"/>
              </w:rPr>
            </w:pPr>
            <w:r>
              <w:rPr>
                <w:rFonts w:hint="eastAsia" w:ascii="宋体" w:hAnsi="宋体" w:cs="宋体"/>
                <w:color w:val="000000"/>
                <w:kern w:val="0"/>
                <w:sz w:val="24"/>
                <w:highlight w:val="none"/>
                <w:lang w:val="en-US" w:eastAsia="zh-CN" w:bidi="ar"/>
              </w:rPr>
              <w:t>国有资本经营预算财政拨款支出决算表</w:t>
            </w:r>
          </w:p>
          <w:p>
            <w:pPr>
              <w:widowControl/>
              <w:jc w:val="left"/>
              <w:rPr>
                <w:rFonts w:hint="default" w:ascii="宋体" w:hAnsi="宋体" w:eastAsia="宋体" w:cs="宋体"/>
                <w:color w:val="000000"/>
                <w:kern w:val="0"/>
                <w:sz w:val="24"/>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是</w:t>
            </w:r>
          </w:p>
        </w:tc>
        <w:tc>
          <w:tcPr>
            <w:tcW w:w="3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val="en-US" w:eastAsia="zh-CN"/>
              </w:rPr>
              <w:t>本单位无国有资本经营预算支出</w:t>
            </w:r>
          </w:p>
        </w:tc>
      </w:tr>
    </w:tbl>
    <w:p>
      <w:pPr>
        <w:widowControl/>
        <w:rPr>
          <w:rFonts w:ascii="黑体" w:hAnsi="宋体" w:eastAsia="黑体"/>
          <w:color w:val="000000"/>
          <w:kern w:val="0"/>
          <w:sz w:val="44"/>
          <w:szCs w:val="44"/>
          <w:lang w:bidi="ar"/>
        </w:rPr>
      </w:pPr>
    </w:p>
    <w:p>
      <w:pPr>
        <w:widowControl/>
        <w:rPr>
          <w:rFonts w:ascii="黑体" w:hAnsi="宋体" w:eastAsia="黑体"/>
          <w:color w:val="000000"/>
          <w:kern w:val="0"/>
          <w:sz w:val="44"/>
          <w:szCs w:val="44"/>
          <w:lang w:bidi="ar"/>
        </w:rPr>
      </w:pPr>
    </w:p>
    <w:p>
      <w:pPr>
        <w:widowControl/>
        <w:jc w:val="center"/>
        <w:textAlignment w:val="center"/>
        <w:rPr>
          <w:rFonts w:hint="eastAsia" w:ascii="宋体" w:hAnsi="宋体" w:cs="宋体"/>
          <w:b/>
          <w:bCs/>
          <w:sz w:val="32"/>
          <w:szCs w:val="32"/>
        </w:rPr>
      </w:pPr>
    </w:p>
    <w:p>
      <w:pPr>
        <w:widowControl/>
        <w:jc w:val="center"/>
        <w:textAlignment w:val="center"/>
        <w:rPr>
          <w:rFonts w:hint="eastAsia" w:ascii="宋体" w:hAnsi="宋体" w:cs="宋体"/>
          <w:b/>
          <w:bCs/>
          <w:sz w:val="32"/>
          <w:szCs w:val="32"/>
        </w:rPr>
      </w:pPr>
    </w:p>
    <w:p>
      <w:pPr>
        <w:widowControl/>
        <w:jc w:val="center"/>
        <w:textAlignment w:val="center"/>
        <w:rPr>
          <w:rFonts w:hint="eastAsia" w:ascii="宋体" w:hAnsi="宋体" w:cs="宋体"/>
          <w:b/>
          <w:bCs/>
          <w:sz w:val="32"/>
          <w:szCs w:val="32"/>
        </w:rPr>
      </w:pPr>
    </w:p>
    <w:p>
      <w:pPr>
        <w:widowControl/>
        <w:jc w:val="center"/>
        <w:textAlignment w:val="center"/>
        <w:rPr>
          <w:rFonts w:hint="eastAsia" w:ascii="宋体" w:hAnsi="宋体" w:cs="宋体"/>
          <w:b/>
          <w:bCs/>
          <w:sz w:val="32"/>
          <w:szCs w:val="32"/>
        </w:rPr>
      </w:pP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bCs/>
          <w:sz w:val="32"/>
          <w:szCs w:val="32"/>
        </w:rPr>
      </w:pPr>
      <w:r>
        <w:rPr>
          <w:rFonts w:hint="eastAsia" w:ascii="宋体" w:hAnsi="宋体" w:cs="宋体"/>
          <w:b/>
          <w:bCs/>
          <w:sz w:val="32"/>
          <w:szCs w:val="32"/>
        </w:rPr>
        <w:t>收入支出决算总表</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公开01表</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val="en-US" w:eastAsia="zh-CN"/>
        </w:rPr>
        <w:t xml:space="preserve">杨陵区委统战部     </w:t>
      </w:r>
      <w:r>
        <w:rPr>
          <w:rFonts w:hint="eastAsia" w:ascii="宋体" w:hAnsi="宋体" w:cs="宋体"/>
          <w:b/>
          <w:bCs/>
          <w:szCs w:val="21"/>
        </w:rPr>
        <w:t xml:space="preserve">                                 金额单位：万元</w:t>
      </w:r>
    </w:p>
    <w:tbl>
      <w:tblPr>
        <w:tblStyle w:val="6"/>
        <w:tblW w:w="8884" w:type="dxa"/>
        <w:tblInd w:w="0" w:type="dxa"/>
        <w:tblLayout w:type="fixed"/>
        <w:tblCellMar>
          <w:top w:w="15" w:type="dxa"/>
          <w:left w:w="15" w:type="dxa"/>
          <w:bottom w:w="15" w:type="dxa"/>
          <w:right w:w="15" w:type="dxa"/>
        </w:tblCellMar>
      </w:tblPr>
      <w:tblGrid>
        <w:gridCol w:w="3388"/>
        <w:gridCol w:w="1080"/>
        <w:gridCol w:w="3090"/>
        <w:gridCol w:w="1326"/>
      </w:tblGrid>
      <w:tr>
        <w:tblPrEx>
          <w:tblCellMar>
            <w:top w:w="15" w:type="dxa"/>
            <w:left w:w="15" w:type="dxa"/>
            <w:bottom w:w="15" w:type="dxa"/>
            <w:right w:w="15" w:type="dxa"/>
          </w:tblCellMar>
        </w:tblPrEx>
        <w:trPr>
          <w:trHeight w:val="273" w:hRule="atLeast"/>
        </w:trPr>
        <w:tc>
          <w:tcPr>
            <w:tcW w:w="446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    入</w:t>
            </w:r>
          </w:p>
        </w:tc>
        <w:tc>
          <w:tcPr>
            <w:tcW w:w="441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    出</w:t>
            </w:r>
          </w:p>
        </w:tc>
      </w:tr>
      <w:tr>
        <w:tblPrEx>
          <w:tblCellMar>
            <w:top w:w="15" w:type="dxa"/>
            <w:left w:w="15" w:type="dxa"/>
            <w:bottom w:w="15" w:type="dxa"/>
            <w:right w:w="15" w:type="dxa"/>
          </w:tblCellMar>
        </w:tblPrEx>
        <w:trPr>
          <w:trHeight w:val="252"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r>
      <w:tr>
        <w:tblPrEx>
          <w:tblCellMar>
            <w:top w:w="15" w:type="dxa"/>
            <w:left w:w="15" w:type="dxa"/>
            <w:bottom w:w="15" w:type="dxa"/>
            <w:right w:w="15" w:type="dxa"/>
          </w:tblCellMar>
        </w:tblPrEx>
        <w:trPr>
          <w:trHeight w:val="262"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0"/>
                <w:szCs w:val="20"/>
                <w:u w:val="none"/>
                <w:lang w:val="en-US" w:eastAsia="zh-CN" w:bidi="ar"/>
              </w:rPr>
              <w:t>1、一般公共预算财政拨款</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r>
              <w:rPr>
                <w:rFonts w:hint="eastAsia" w:ascii="宋体" w:hAnsi="宋体" w:cs="宋体"/>
                <w:color w:val="000000"/>
                <w:szCs w:val="21"/>
              </w:rPr>
              <w:t>123.82</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1、一般公共服务支出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r>
              <w:rPr>
                <w:rFonts w:hint="eastAsia" w:ascii="宋体" w:hAnsi="宋体" w:cs="宋体"/>
                <w:color w:val="000000"/>
                <w:szCs w:val="21"/>
              </w:rPr>
              <w:t>132.99</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政府性基金预算财政拨款</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2、外交支出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 xml:space="preserve">国有资本经营预算财政拨款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3、国防支出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color w:val="000000"/>
                <w:kern w:val="2"/>
                <w:sz w:val="21"/>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上级补助收入</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4、公共安全支出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eastAsia="宋体" w:cs="宋体"/>
                <w:color w:val="000000"/>
                <w:kern w:val="2"/>
                <w:sz w:val="21"/>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事业收入</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5、教育支出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eastAsia="宋体" w:cs="宋体"/>
                <w:color w:val="000000"/>
                <w:kern w:val="2"/>
                <w:sz w:val="21"/>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6</w:t>
            </w:r>
            <w:r>
              <w:rPr>
                <w:rFonts w:hint="eastAsia" w:ascii="宋体" w:hAnsi="宋体" w:eastAsia="宋体" w:cs="宋体"/>
                <w:i w:val="0"/>
                <w:color w:val="000000"/>
                <w:kern w:val="0"/>
                <w:sz w:val="20"/>
                <w:szCs w:val="20"/>
                <w:u w:val="none"/>
                <w:lang w:val="en-US" w:eastAsia="zh-CN" w:bidi="ar"/>
              </w:rPr>
              <w:t>、经营收入</w:t>
            </w:r>
          </w:p>
        </w:tc>
        <w:tc>
          <w:tcPr>
            <w:tcW w:w="1080" w:type="dxa"/>
            <w:tcBorders>
              <w:top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6、科学技术支出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color w:val="000000"/>
                <w:kern w:val="2"/>
                <w:sz w:val="21"/>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7</w:t>
            </w:r>
            <w:r>
              <w:rPr>
                <w:rFonts w:hint="eastAsia" w:ascii="宋体" w:hAnsi="宋体" w:eastAsia="宋体" w:cs="宋体"/>
                <w:i w:val="0"/>
                <w:color w:val="000000"/>
                <w:kern w:val="0"/>
                <w:sz w:val="20"/>
                <w:szCs w:val="20"/>
                <w:u w:val="none"/>
                <w:lang w:val="en-US" w:eastAsia="zh-CN" w:bidi="ar"/>
              </w:rPr>
              <w:t>、附属单位上缴收入</w:t>
            </w:r>
          </w:p>
        </w:tc>
        <w:tc>
          <w:tcPr>
            <w:tcW w:w="1080" w:type="dxa"/>
            <w:tcBorders>
              <w:top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7、文化</w:t>
            </w:r>
            <w:r>
              <w:rPr>
                <w:rFonts w:hint="eastAsia" w:ascii="宋体" w:hAnsi="宋体" w:cs="宋体"/>
                <w:color w:val="000000"/>
                <w:kern w:val="0"/>
                <w:szCs w:val="21"/>
                <w:lang w:eastAsia="zh-CN"/>
              </w:rPr>
              <w:t>旅游</w:t>
            </w:r>
            <w:r>
              <w:rPr>
                <w:rFonts w:hint="eastAsia" w:ascii="宋体" w:hAnsi="宋体" w:cs="宋体"/>
                <w:color w:val="000000"/>
                <w:kern w:val="0"/>
                <w:szCs w:val="21"/>
              </w:rPr>
              <w:t>体育与传媒支出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eastAsia="宋体" w:cs="宋体"/>
                <w:color w:val="000000"/>
                <w:kern w:val="2"/>
                <w:sz w:val="21"/>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8</w:t>
            </w:r>
            <w:r>
              <w:rPr>
                <w:rFonts w:hint="eastAsia" w:ascii="宋体" w:hAnsi="宋体" w:eastAsia="宋体" w:cs="宋体"/>
                <w:i w:val="0"/>
                <w:color w:val="000000"/>
                <w:kern w:val="0"/>
                <w:sz w:val="20"/>
                <w:szCs w:val="20"/>
                <w:u w:val="none"/>
                <w:lang w:val="en-US" w:eastAsia="zh-CN" w:bidi="ar"/>
              </w:rPr>
              <w:t>、其他收入</w:t>
            </w:r>
          </w:p>
        </w:tc>
        <w:tc>
          <w:tcPr>
            <w:tcW w:w="1080" w:type="dxa"/>
            <w:tcBorders>
              <w:top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eastAsia="宋体" w:cs="宋体"/>
                <w:color w:val="000000"/>
                <w:szCs w:val="21"/>
                <w:lang w:val="en-US" w:eastAsia="zh-CN"/>
              </w:rPr>
            </w:pPr>
            <w:r>
              <w:rPr>
                <w:rFonts w:hint="eastAsia" w:ascii="宋体" w:hAnsi="宋体" w:cs="宋体"/>
                <w:color w:val="000000"/>
                <w:szCs w:val="21"/>
              </w:rPr>
              <w:t>11.1</w:t>
            </w:r>
            <w:r>
              <w:rPr>
                <w:rFonts w:hint="eastAsia" w:ascii="宋体" w:hAnsi="宋体" w:cs="宋体"/>
                <w:color w:val="000000"/>
                <w:szCs w:val="21"/>
                <w:lang w:val="en-US" w:eastAsia="zh-CN"/>
              </w:rPr>
              <w:t>0</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8、社会保障和就业支出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263"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9、</w:t>
            </w:r>
            <w:r>
              <w:rPr>
                <w:rFonts w:hint="eastAsia" w:ascii="宋体" w:hAnsi="宋体" w:cs="宋体"/>
                <w:color w:val="000000"/>
                <w:kern w:val="0"/>
                <w:szCs w:val="21"/>
                <w:lang w:eastAsia="zh-CN"/>
              </w:rPr>
              <w:t>卫生健康</w:t>
            </w:r>
            <w:r>
              <w:rPr>
                <w:rFonts w:hint="eastAsia" w:ascii="宋体" w:hAnsi="宋体" w:cs="宋体"/>
                <w:color w:val="000000"/>
                <w:kern w:val="0"/>
                <w:szCs w:val="21"/>
              </w:rPr>
              <w:t>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color w:val="000000"/>
                <w:kern w:val="2"/>
                <w:sz w:val="21"/>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14"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10、节能环保支出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eastAsia="宋体" w:cs="宋体"/>
                <w:color w:val="000000"/>
                <w:kern w:val="2"/>
                <w:sz w:val="21"/>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30"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 xml:space="preserve"> </w:t>
            </w:r>
          </w:p>
        </w:tc>
        <w:tc>
          <w:tcPr>
            <w:tcW w:w="1080" w:type="dxa"/>
            <w:tcBorders>
              <w:top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11、城乡社区支出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eastAsia="宋体" w:cs="宋体"/>
                <w:color w:val="000000"/>
                <w:kern w:val="2"/>
                <w:sz w:val="21"/>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12、农林水支出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color w:val="000000"/>
                <w:kern w:val="2"/>
                <w:sz w:val="21"/>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17"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13、交通运输支出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eastAsia="宋体" w:cs="宋体"/>
                <w:color w:val="000000"/>
                <w:kern w:val="2"/>
                <w:sz w:val="21"/>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14、资源勘探信息等支出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15、商业服务业等支出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color w:val="000000"/>
                <w:kern w:val="2"/>
                <w:sz w:val="21"/>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298" w:hRule="atLeast"/>
        </w:trPr>
        <w:tc>
          <w:tcPr>
            <w:tcW w:w="3388"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16、金融支出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eastAsia="宋体" w:cs="宋体"/>
                <w:color w:val="000000"/>
                <w:kern w:val="2"/>
                <w:sz w:val="21"/>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15" w:hRule="atLeast"/>
        </w:trPr>
        <w:tc>
          <w:tcPr>
            <w:tcW w:w="3388"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17、援助其他地区支出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eastAsia="宋体" w:cs="宋体"/>
                <w:color w:val="000000"/>
                <w:kern w:val="2"/>
                <w:sz w:val="21"/>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281" w:hRule="atLeast"/>
        </w:trPr>
        <w:tc>
          <w:tcPr>
            <w:tcW w:w="3388"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18、</w:t>
            </w:r>
            <w:r>
              <w:rPr>
                <w:rFonts w:hint="eastAsia" w:ascii="宋体" w:hAnsi="宋体" w:cs="宋体"/>
                <w:color w:val="000000"/>
                <w:kern w:val="0"/>
                <w:szCs w:val="21"/>
                <w:lang w:eastAsia="zh-CN"/>
              </w:rPr>
              <w:t>自然资源</w:t>
            </w:r>
            <w:r>
              <w:rPr>
                <w:rFonts w:hint="eastAsia" w:ascii="宋体" w:hAnsi="宋体" w:cs="宋体"/>
                <w:color w:val="000000"/>
                <w:kern w:val="0"/>
                <w:szCs w:val="21"/>
              </w:rPr>
              <w:t>海洋气象等支出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color w:val="000000"/>
                <w:kern w:val="2"/>
                <w:sz w:val="21"/>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45" w:hRule="atLeast"/>
        </w:trPr>
        <w:tc>
          <w:tcPr>
            <w:tcW w:w="3388"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19、住房保障支出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eastAsia="宋体" w:cs="宋体"/>
                <w:color w:val="000000"/>
                <w:kern w:val="2"/>
                <w:sz w:val="21"/>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20、粮油物资储备支出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Cs w:val="21"/>
                <w:lang w:eastAsia="zh-CN"/>
              </w:rPr>
            </w:pPr>
            <w:r>
              <w:rPr>
                <w:rFonts w:hint="eastAsia" w:ascii="宋体" w:hAnsi="宋体" w:cs="宋体"/>
                <w:color w:val="000000"/>
                <w:kern w:val="0"/>
                <w:szCs w:val="21"/>
              </w:rPr>
              <w:t xml:space="preserve">  21、</w:t>
            </w:r>
            <w:r>
              <w:rPr>
                <w:rFonts w:hint="eastAsia" w:ascii="宋体" w:hAnsi="宋体" w:cs="宋体"/>
                <w:color w:val="000000"/>
                <w:kern w:val="0"/>
                <w:szCs w:val="21"/>
                <w:lang w:eastAsia="zh-CN"/>
              </w:rPr>
              <w:t>灾害防治及应急管理支出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color w:val="000000"/>
                <w:kern w:val="2"/>
                <w:sz w:val="21"/>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210" w:firstLineChars="100"/>
              <w:jc w:val="left"/>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22、</w:t>
            </w:r>
            <w:r>
              <w:rPr>
                <w:rFonts w:hint="eastAsia" w:ascii="宋体" w:hAnsi="宋体" w:cs="宋体"/>
                <w:color w:val="000000"/>
                <w:kern w:val="0"/>
                <w:szCs w:val="21"/>
              </w:rPr>
              <w:t>其他支出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eastAsia="宋体" w:cs="宋体"/>
                <w:color w:val="000000"/>
                <w:kern w:val="2"/>
                <w:sz w:val="21"/>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210" w:firstLineChars="100"/>
              <w:jc w:val="left"/>
              <w:textAlignment w:val="center"/>
              <w:rPr>
                <w:rFonts w:hint="default"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24、债务还本支出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eastAsia="宋体" w:cs="宋体"/>
                <w:color w:val="000000"/>
                <w:kern w:val="2"/>
                <w:sz w:val="21"/>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252" w:hRule="atLeast"/>
        </w:trPr>
        <w:tc>
          <w:tcPr>
            <w:tcW w:w="3388"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210" w:firstLineChars="100"/>
              <w:jc w:val="left"/>
              <w:textAlignment w:val="center"/>
              <w:rPr>
                <w:rFonts w:hint="default"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25、债务付息支出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color w:val="000000"/>
                <w:kern w:val="2"/>
                <w:sz w:val="21"/>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179" w:hRule="atLeast"/>
        </w:trPr>
        <w:tc>
          <w:tcPr>
            <w:tcW w:w="3388"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210" w:firstLineChars="100"/>
              <w:jc w:val="left"/>
              <w:textAlignment w:val="center"/>
              <w:rPr>
                <w:rFonts w:hint="default"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26、抗疫特别国债安排支出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eastAsia="宋体" w:cs="宋体"/>
                <w:color w:val="000000"/>
                <w:kern w:val="2"/>
                <w:sz w:val="21"/>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20" w:hRule="atLeast"/>
        </w:trPr>
        <w:tc>
          <w:tcPr>
            <w:tcW w:w="3388" w:type="dxa"/>
            <w:tcBorders>
              <w:top w:val="single" w:color="000000" w:sz="4" w:space="0"/>
              <w:left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080" w:type="dxa"/>
            <w:tcBorders>
              <w:top w:val="single" w:color="000000" w:sz="4" w:space="0"/>
              <w:left w:val="single" w:color="000000" w:sz="4" w:space="0"/>
              <w:right w:val="single" w:color="000000" w:sz="4" w:space="0"/>
            </w:tcBorders>
            <w:noWrap w:val="0"/>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 xml:space="preserve">134.92 </w:t>
            </w:r>
          </w:p>
        </w:tc>
        <w:tc>
          <w:tcPr>
            <w:tcW w:w="3090" w:type="dxa"/>
            <w:tcBorders>
              <w:top w:val="single" w:color="000000" w:sz="4" w:space="0"/>
              <w:left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326"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132.99</w:t>
            </w:r>
          </w:p>
        </w:tc>
      </w:tr>
      <w:tr>
        <w:tblPrEx>
          <w:tblCellMar>
            <w:top w:w="15" w:type="dxa"/>
            <w:left w:w="15" w:type="dxa"/>
            <w:bottom w:w="15" w:type="dxa"/>
            <w:right w:w="15" w:type="dxa"/>
          </w:tblCellMar>
        </w:tblPrEx>
        <w:trPr>
          <w:trHeight w:val="242"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bCs/>
                <w:color w:val="000000"/>
                <w:szCs w:val="21"/>
                <w:lang w:val="en-US" w:eastAsia="zh-CN"/>
              </w:rPr>
            </w:pPr>
            <w:r>
              <w:rPr>
                <w:rFonts w:hint="eastAsia" w:ascii="宋体" w:hAnsi="宋体" w:cs="宋体"/>
                <w:bCs/>
                <w:color w:val="000000"/>
                <w:kern w:val="0"/>
                <w:szCs w:val="21"/>
                <w:highlight w:val="none"/>
                <w:lang w:val="en-US" w:eastAsia="zh-CN"/>
              </w:rPr>
              <w:t>使用非财政拨款结余</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0.00</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 xml:space="preserve">结余分配 </w:t>
            </w:r>
          </w:p>
        </w:tc>
        <w:tc>
          <w:tcPr>
            <w:tcW w:w="1326" w:type="dxa"/>
            <w:tcBorders>
              <w:top w:val="single" w:color="000000" w:sz="4" w:space="0"/>
              <w:left w:val="single" w:color="000000" w:sz="4" w:space="0"/>
              <w:bottom w:val="single" w:color="000000" w:sz="4" w:space="0"/>
              <w:right w:val="single" w:color="000000" w:sz="4" w:space="0"/>
            </w:tcBorders>
            <w:noWrap w:val="0"/>
            <w:vAlign w:val="bottom"/>
          </w:tcPr>
          <w:p>
            <w:pPr>
              <w:jc w:val="right"/>
              <w:rPr>
                <w:rFonts w:hint="default" w:ascii="宋体" w:hAnsi="宋体" w:eastAsia="宋体" w:cs="宋体"/>
                <w:b/>
                <w:color w:val="000000"/>
                <w:szCs w:val="21"/>
                <w:lang w:val="en-US" w:eastAsia="zh-CN"/>
              </w:rPr>
            </w:pPr>
            <w:r>
              <w:rPr>
                <w:rFonts w:hint="eastAsia" w:ascii="宋体" w:hAnsi="宋体" w:cs="宋体"/>
                <w:bCs/>
                <w:color w:val="000000"/>
                <w:szCs w:val="21"/>
                <w:lang w:val="en-US" w:eastAsia="zh-CN"/>
              </w:rPr>
              <w:t>0.00</w:t>
            </w:r>
          </w:p>
        </w:tc>
      </w:tr>
      <w:tr>
        <w:tblPrEx>
          <w:tblCellMar>
            <w:top w:w="15" w:type="dxa"/>
            <w:left w:w="15" w:type="dxa"/>
            <w:bottom w:w="15" w:type="dxa"/>
            <w:right w:w="15" w:type="dxa"/>
          </w:tblCellMar>
        </w:tblPrEx>
        <w:trPr>
          <w:trHeight w:val="235"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年初结转和结余</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bCs/>
                <w:color w:val="000000"/>
                <w:szCs w:val="21"/>
              </w:rPr>
            </w:pPr>
            <w:r>
              <w:rPr>
                <w:rFonts w:hint="eastAsia" w:ascii="宋体" w:hAnsi="宋体" w:cs="宋体"/>
                <w:bCs/>
                <w:color w:val="000000"/>
                <w:szCs w:val="21"/>
              </w:rPr>
              <w:t>3.28</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年末结转和结余</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5.21</w:t>
            </w:r>
          </w:p>
        </w:tc>
      </w:tr>
      <w:tr>
        <w:tblPrEx>
          <w:tblCellMar>
            <w:top w:w="15" w:type="dxa"/>
            <w:left w:w="15" w:type="dxa"/>
            <w:bottom w:w="15" w:type="dxa"/>
            <w:right w:w="15" w:type="dxa"/>
          </w:tblCellMar>
        </w:tblPrEx>
        <w:trPr>
          <w:trHeight w:val="329"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收入总计</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rPr>
              <w:t>138.2</w:t>
            </w:r>
            <w:r>
              <w:rPr>
                <w:rFonts w:hint="eastAsia" w:ascii="宋体" w:hAnsi="宋体" w:cs="宋体"/>
                <w:color w:val="000000"/>
                <w:szCs w:val="21"/>
                <w:lang w:val="en-US" w:eastAsia="zh-CN"/>
              </w:rPr>
              <w:t>0</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支出总计</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138.20</w:t>
            </w:r>
          </w:p>
        </w:tc>
      </w:tr>
    </w:tbl>
    <w:p>
      <w:pPr>
        <w:keepNext w:val="0"/>
        <w:keepLines w:val="0"/>
        <w:widowControl/>
        <w:suppressLineNumbers w:val="0"/>
        <w:jc w:val="left"/>
        <w:rPr>
          <w:rFonts w:ascii="宋体" w:hAnsi="宋体" w:cs="宋体"/>
          <w:sz w:val="48"/>
          <w:szCs w:val="48"/>
        </w:rPr>
      </w:pPr>
      <w:r>
        <w:rPr>
          <w:rFonts w:hint="eastAsia" w:ascii="宋体" w:hAnsi="宋体" w:cs="宋体"/>
          <w:color w:val="000000"/>
          <w:kern w:val="0"/>
          <w:szCs w:val="21"/>
        </w:rPr>
        <w:t>注：本表反映部门本年度的总收支和年末结转结余情况</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收入决算表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w:t>
      </w:r>
      <w:r>
        <w:rPr>
          <w:rFonts w:hint="eastAsia" w:ascii="宋体" w:hAnsi="宋体" w:cs="宋体"/>
          <w:b/>
          <w:bCs/>
          <w:szCs w:val="21"/>
          <w:lang w:val="en-US" w:eastAsia="zh-CN"/>
        </w:rPr>
        <w:t>2</w:t>
      </w:r>
      <w:r>
        <w:rPr>
          <w:rFonts w:hint="eastAsia" w:ascii="宋体" w:hAnsi="宋体" w:cs="宋体"/>
          <w:b/>
          <w:bCs/>
          <w:szCs w:val="21"/>
        </w:rPr>
        <w:t>表</w:t>
      </w:r>
    </w:p>
    <w:p>
      <w:pPr>
        <w:jc w:val="left"/>
        <w:rPr>
          <w:rFonts w:ascii="宋体" w:hAnsi="宋体" w:cs="宋体"/>
          <w:b/>
          <w:bCs/>
          <w:sz w:val="48"/>
          <w:szCs w:val="48"/>
        </w:rPr>
      </w:pPr>
      <w:r>
        <w:rPr>
          <w:rFonts w:hint="eastAsia" w:ascii="宋体" w:hAnsi="宋体" w:cs="宋体"/>
          <w:b/>
          <w:bCs/>
          <w:szCs w:val="21"/>
        </w:rPr>
        <w:t>编制部门：</w:t>
      </w:r>
      <w:r>
        <w:rPr>
          <w:rFonts w:hint="eastAsia" w:ascii="宋体" w:hAnsi="宋体" w:cs="宋体"/>
          <w:b/>
          <w:bCs/>
          <w:szCs w:val="21"/>
          <w:lang w:val="en-US" w:eastAsia="zh-CN"/>
        </w:rPr>
        <w:t xml:space="preserve">杨陵区委统战部       </w:t>
      </w:r>
      <w:r>
        <w:rPr>
          <w:rFonts w:hint="eastAsia" w:ascii="宋体" w:hAnsi="宋体" w:cs="宋体"/>
          <w:b/>
          <w:bCs/>
          <w:szCs w:val="21"/>
        </w:rPr>
        <w:t xml:space="preserve">                                   金额单位：万元</w:t>
      </w:r>
    </w:p>
    <w:tbl>
      <w:tblPr>
        <w:tblStyle w:val="6"/>
        <w:tblW w:w="8867" w:type="dxa"/>
        <w:tblInd w:w="0" w:type="dxa"/>
        <w:tblLayout w:type="fixed"/>
        <w:tblCellMar>
          <w:top w:w="15" w:type="dxa"/>
          <w:left w:w="15" w:type="dxa"/>
          <w:bottom w:w="15" w:type="dxa"/>
          <w:right w:w="15" w:type="dxa"/>
        </w:tblCellMar>
      </w:tblPr>
      <w:tblGrid>
        <w:gridCol w:w="890"/>
        <w:gridCol w:w="1335"/>
        <w:gridCol w:w="745"/>
        <w:gridCol w:w="807"/>
        <w:gridCol w:w="806"/>
        <w:gridCol w:w="631"/>
        <w:gridCol w:w="1097"/>
        <w:gridCol w:w="756"/>
        <w:gridCol w:w="990"/>
        <w:gridCol w:w="810"/>
      </w:tblGrid>
      <w:tr>
        <w:tblPrEx>
          <w:tblCellMar>
            <w:top w:w="15" w:type="dxa"/>
            <w:left w:w="15" w:type="dxa"/>
            <w:bottom w:w="15" w:type="dxa"/>
            <w:right w:w="15" w:type="dxa"/>
          </w:tblCellMar>
        </w:tblPrEx>
        <w:trPr>
          <w:trHeight w:val="439" w:hRule="atLeast"/>
        </w:trPr>
        <w:tc>
          <w:tcPr>
            <w:tcW w:w="222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项目</w:t>
            </w:r>
          </w:p>
        </w:tc>
        <w:tc>
          <w:tcPr>
            <w:tcW w:w="74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本年收入合计</w:t>
            </w:r>
          </w:p>
        </w:tc>
        <w:tc>
          <w:tcPr>
            <w:tcW w:w="80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财政拨款收入</w:t>
            </w:r>
          </w:p>
        </w:tc>
        <w:tc>
          <w:tcPr>
            <w:tcW w:w="80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上级补助收入</w:t>
            </w:r>
          </w:p>
        </w:tc>
        <w:tc>
          <w:tcPr>
            <w:tcW w:w="172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事业收入</w:t>
            </w:r>
          </w:p>
        </w:tc>
        <w:tc>
          <w:tcPr>
            <w:tcW w:w="75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经营</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c>
          <w:tcPr>
            <w:tcW w:w="9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附属单位上缴收入</w:t>
            </w:r>
          </w:p>
        </w:tc>
        <w:tc>
          <w:tcPr>
            <w:tcW w:w="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其他</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r>
      <w:tr>
        <w:tblPrEx>
          <w:tblCellMar>
            <w:top w:w="15" w:type="dxa"/>
            <w:left w:w="15" w:type="dxa"/>
            <w:bottom w:w="15" w:type="dxa"/>
            <w:right w:w="15" w:type="dxa"/>
          </w:tblCellMar>
        </w:tblPrEx>
        <w:trPr>
          <w:trHeight w:val="1125" w:hRule="atLeast"/>
        </w:trPr>
        <w:tc>
          <w:tcPr>
            <w:tcW w:w="890" w:type="dxa"/>
            <w:tcBorders>
              <w:top w:val="single" w:color="000000" w:sz="4" w:space="0"/>
              <w:left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335"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科目</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名称</w:t>
            </w:r>
          </w:p>
        </w:tc>
        <w:tc>
          <w:tcPr>
            <w:tcW w:w="7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8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80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6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color w:val="000000"/>
                <w:szCs w:val="21"/>
                <w:lang w:eastAsia="zh-CN"/>
              </w:rPr>
            </w:pPr>
            <w:r>
              <w:rPr>
                <w:rFonts w:hint="eastAsia" w:ascii="宋体" w:hAnsi="宋体" w:cs="宋体"/>
                <w:b/>
                <w:color w:val="000000"/>
                <w:szCs w:val="21"/>
                <w:lang w:eastAsia="zh-CN"/>
              </w:rPr>
              <w:t>小计</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color w:val="000000"/>
                <w:szCs w:val="21"/>
                <w:lang w:val="en-US" w:eastAsia="zh-CN"/>
              </w:rPr>
            </w:pPr>
            <w:r>
              <w:rPr>
                <w:rFonts w:hint="eastAsia" w:ascii="宋体" w:hAnsi="宋体" w:cs="宋体"/>
                <w:b/>
                <w:color w:val="000000"/>
                <w:szCs w:val="21"/>
                <w:lang w:eastAsia="zh-CN"/>
              </w:rPr>
              <w:t>其中：教育</w:t>
            </w:r>
            <w:r>
              <w:rPr>
                <w:rFonts w:hint="eastAsia" w:ascii="宋体" w:hAnsi="宋体" w:cs="宋体"/>
                <w:b/>
                <w:color w:val="000000"/>
                <w:szCs w:val="21"/>
                <w:lang w:val="en-US" w:eastAsia="zh-CN"/>
              </w:rPr>
              <w:t xml:space="preserve"> </w:t>
            </w:r>
          </w:p>
          <w:p>
            <w:pPr>
              <w:ind w:firstLine="422" w:firstLineChars="200"/>
              <w:jc w:val="both"/>
              <w:rPr>
                <w:rFonts w:hint="eastAsia" w:ascii="宋体" w:hAnsi="宋体" w:eastAsia="宋体" w:cs="宋体"/>
                <w:b/>
                <w:color w:val="000000"/>
                <w:szCs w:val="21"/>
                <w:lang w:eastAsia="zh-CN"/>
              </w:rPr>
            </w:pPr>
            <w:r>
              <w:rPr>
                <w:rFonts w:hint="eastAsia" w:ascii="宋体" w:hAnsi="宋体" w:cs="宋体"/>
                <w:b/>
                <w:color w:val="000000"/>
                <w:szCs w:val="21"/>
                <w:lang w:eastAsia="zh-CN"/>
              </w:rPr>
              <w:t>收费</w:t>
            </w:r>
          </w:p>
        </w:tc>
        <w:tc>
          <w:tcPr>
            <w:tcW w:w="7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9" w:hRule="atLeast"/>
        </w:trPr>
        <w:tc>
          <w:tcPr>
            <w:tcW w:w="222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134.92</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123.82</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11.10</w:t>
            </w:r>
          </w:p>
        </w:tc>
      </w:tr>
      <w:tr>
        <w:tblPrEx>
          <w:tblCellMar>
            <w:top w:w="15" w:type="dxa"/>
            <w:left w:w="15" w:type="dxa"/>
            <w:bottom w:w="15" w:type="dxa"/>
            <w:right w:w="15" w:type="dxa"/>
          </w:tblCellMar>
        </w:tblPrEx>
        <w:trPr>
          <w:trHeight w:val="439" w:hRule="atLeast"/>
        </w:trPr>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201</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一般公共服务支出</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134.91</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123.81</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11.10</w:t>
            </w:r>
          </w:p>
        </w:tc>
      </w:tr>
      <w:tr>
        <w:tblPrEx>
          <w:tblCellMar>
            <w:top w:w="15" w:type="dxa"/>
            <w:left w:w="15" w:type="dxa"/>
            <w:bottom w:w="15" w:type="dxa"/>
            <w:right w:w="15" w:type="dxa"/>
          </w:tblCellMar>
        </w:tblPrEx>
        <w:trPr>
          <w:trHeight w:val="439" w:hRule="atLeast"/>
        </w:trPr>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20128</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民主党派及工商联事务</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33.43</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33.43</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2012850</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30.83</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30.83</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2012899</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其他民主党派及工商联事务支出</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2.60</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2.60</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20134</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统战事务</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101.48</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90.38</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11.10</w:t>
            </w:r>
          </w:p>
        </w:tc>
      </w:tr>
      <w:tr>
        <w:tblPrEx>
          <w:tblCellMar>
            <w:top w:w="15" w:type="dxa"/>
            <w:left w:w="15" w:type="dxa"/>
            <w:bottom w:w="15" w:type="dxa"/>
            <w:right w:w="15" w:type="dxa"/>
          </w:tblCellMar>
        </w:tblPrEx>
        <w:trPr>
          <w:trHeight w:val="439" w:hRule="atLeast"/>
        </w:trPr>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2013401</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86.39</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86.39</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8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74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63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8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74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63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8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74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63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8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74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63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8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74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63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8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74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63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8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74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63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8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74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63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8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74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63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8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74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63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注：本表反映部门本年度取得的各项收入情况</w:t>
      </w:r>
      <w:r>
        <w:rPr>
          <w:rFonts w:hint="eastAsia" w:ascii="宋体" w:hAnsi="宋体" w:cs="宋体"/>
          <w:szCs w:val="21"/>
          <w:lang w:eastAsia="zh-CN"/>
        </w:rPr>
        <w:t>。</w:t>
      </w:r>
      <w:r>
        <w:rPr>
          <w:rFonts w:hint="eastAsia" w:ascii="宋体" w:hAnsi="宋体" w:cs="宋体"/>
          <w:color w:val="000000"/>
          <w:kern w:val="0"/>
          <w:szCs w:val="21"/>
          <w:lang w:val="en-US" w:eastAsia="zh-CN"/>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支出决算表</w:t>
      </w:r>
    </w:p>
    <w:p>
      <w:pPr>
        <w:rPr>
          <w:rFonts w:ascii="宋体" w:hAnsi="宋体" w:cs="宋体"/>
          <w:b/>
          <w:bCs/>
          <w:szCs w:val="21"/>
        </w:rPr>
      </w:pPr>
      <w:r>
        <w:rPr>
          <w:rFonts w:hint="eastAsia" w:ascii="宋体" w:hAnsi="宋体" w:cs="宋体"/>
          <w:b/>
          <w:bCs/>
          <w:sz w:val="24"/>
        </w:rPr>
        <w:t xml:space="preserve">                        </w:t>
      </w:r>
      <w:r>
        <w:rPr>
          <w:rFonts w:hint="eastAsia" w:ascii="宋体" w:hAnsi="宋体" w:cs="宋体"/>
          <w:b/>
          <w:bCs/>
          <w:szCs w:val="21"/>
        </w:rPr>
        <w:t xml:space="preserve">                                              公开03表</w:t>
      </w:r>
    </w:p>
    <w:p>
      <w:pPr>
        <w:rPr>
          <w:rFonts w:ascii="宋体" w:hAnsi="宋体" w:cs="宋体"/>
          <w:b/>
          <w:bCs/>
          <w:sz w:val="48"/>
          <w:szCs w:val="48"/>
        </w:rPr>
      </w:pPr>
      <w:r>
        <w:rPr>
          <w:rFonts w:hint="eastAsia" w:ascii="宋体" w:hAnsi="宋体" w:cs="宋体"/>
          <w:b/>
          <w:bCs/>
          <w:szCs w:val="21"/>
        </w:rPr>
        <w:t>编制部门：</w:t>
      </w:r>
      <w:r>
        <w:rPr>
          <w:rFonts w:hint="eastAsia" w:ascii="宋体" w:hAnsi="宋体" w:cs="宋体"/>
          <w:b/>
          <w:bCs/>
          <w:szCs w:val="21"/>
          <w:lang w:val="en-US" w:eastAsia="zh-CN"/>
        </w:rPr>
        <w:t xml:space="preserve">杨陵区委统战部       </w:t>
      </w:r>
      <w:r>
        <w:rPr>
          <w:rFonts w:hint="eastAsia" w:ascii="宋体" w:hAnsi="宋体" w:cs="宋体"/>
          <w:b/>
          <w:bCs/>
          <w:szCs w:val="21"/>
        </w:rPr>
        <w:t xml:space="preserve">                                    金额单位：万元</w:t>
      </w:r>
    </w:p>
    <w:tbl>
      <w:tblPr>
        <w:tblStyle w:val="6"/>
        <w:tblW w:w="8896" w:type="dxa"/>
        <w:tblInd w:w="0" w:type="dxa"/>
        <w:tblLayout w:type="fixed"/>
        <w:tblCellMar>
          <w:top w:w="15" w:type="dxa"/>
          <w:left w:w="15" w:type="dxa"/>
          <w:bottom w:w="15" w:type="dxa"/>
          <w:right w:w="15" w:type="dxa"/>
        </w:tblCellMar>
      </w:tblPr>
      <w:tblGrid>
        <w:gridCol w:w="914"/>
        <w:gridCol w:w="83"/>
        <w:gridCol w:w="1219"/>
        <w:gridCol w:w="1255"/>
        <w:gridCol w:w="986"/>
        <w:gridCol w:w="1077"/>
        <w:gridCol w:w="1109"/>
        <w:gridCol w:w="908"/>
        <w:gridCol w:w="1345"/>
      </w:tblGrid>
      <w:tr>
        <w:tblPrEx>
          <w:tblCellMar>
            <w:top w:w="15" w:type="dxa"/>
            <w:left w:w="15" w:type="dxa"/>
            <w:bottom w:w="15" w:type="dxa"/>
            <w:right w:w="15" w:type="dxa"/>
          </w:tblCellMar>
        </w:tblPrEx>
        <w:trPr>
          <w:trHeight w:val="372" w:hRule="atLeast"/>
        </w:trPr>
        <w:tc>
          <w:tcPr>
            <w:tcW w:w="221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2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val="en-US" w:eastAsia="zh-CN"/>
              </w:rPr>
              <w:t>本年支出</w:t>
            </w:r>
            <w:r>
              <w:rPr>
                <w:rFonts w:hint="eastAsia" w:ascii="宋体" w:hAnsi="宋体" w:cs="宋体"/>
                <w:b/>
                <w:color w:val="000000"/>
                <w:kern w:val="0"/>
                <w:szCs w:val="21"/>
              </w:rPr>
              <w:t>合计</w:t>
            </w:r>
          </w:p>
        </w:tc>
        <w:tc>
          <w:tcPr>
            <w:tcW w:w="98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10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上缴上</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级支出</w:t>
            </w:r>
          </w:p>
        </w:tc>
        <w:tc>
          <w:tcPr>
            <w:tcW w:w="90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经营支出</w:t>
            </w:r>
          </w:p>
        </w:tc>
        <w:tc>
          <w:tcPr>
            <w:tcW w:w="134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对附属单位</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补助支出</w:t>
            </w:r>
          </w:p>
        </w:tc>
      </w:tr>
      <w:tr>
        <w:tblPrEx>
          <w:tblCellMar>
            <w:top w:w="15" w:type="dxa"/>
            <w:left w:w="15" w:type="dxa"/>
            <w:bottom w:w="15" w:type="dxa"/>
            <w:right w:w="15" w:type="dxa"/>
          </w:tblCellMar>
        </w:tblPrEx>
        <w:trPr>
          <w:trHeight w:val="702" w:hRule="atLeast"/>
        </w:trPr>
        <w:tc>
          <w:tcPr>
            <w:tcW w:w="99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2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9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10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110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9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13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72" w:hRule="atLeast"/>
        </w:trPr>
        <w:tc>
          <w:tcPr>
            <w:tcW w:w="221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132.99</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117.22</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15.77</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201</w:t>
            </w:r>
          </w:p>
        </w:tc>
        <w:tc>
          <w:tcPr>
            <w:tcW w:w="130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一般公共服务支出</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132.98</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117.22</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15.76</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20128</w:t>
            </w:r>
          </w:p>
        </w:tc>
        <w:tc>
          <w:tcPr>
            <w:tcW w:w="130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民主党派及工商联事务</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33.43</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30.83</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2.60</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2012850</w:t>
            </w:r>
          </w:p>
        </w:tc>
        <w:tc>
          <w:tcPr>
            <w:tcW w:w="130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30.83</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30.83</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2012899</w:t>
            </w:r>
          </w:p>
        </w:tc>
        <w:tc>
          <w:tcPr>
            <w:tcW w:w="130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其他民主党派及工商联事务支出</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2.60</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2.60</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20134</w:t>
            </w:r>
          </w:p>
        </w:tc>
        <w:tc>
          <w:tcPr>
            <w:tcW w:w="130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统战事务</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99.55</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86.39</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13.16</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2013401</w:t>
            </w:r>
          </w:p>
        </w:tc>
        <w:tc>
          <w:tcPr>
            <w:tcW w:w="130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86.39</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86.39</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2013404</w:t>
            </w:r>
          </w:p>
        </w:tc>
        <w:tc>
          <w:tcPr>
            <w:tcW w:w="130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宗教事务</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5.99</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5.99</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2013499</w:t>
            </w:r>
          </w:p>
        </w:tc>
        <w:tc>
          <w:tcPr>
            <w:tcW w:w="130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其他统战事务支出</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7.17</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7.17</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tabs>
                <w:tab w:val="left" w:pos="506"/>
              </w:tabs>
              <w:jc w:val="left"/>
              <w:rPr>
                <w:rFonts w:hint="default" w:ascii="宋体" w:hAnsi="宋体" w:eastAsia="宋体" w:cs="宋体"/>
                <w:color w:val="000000"/>
                <w:szCs w:val="21"/>
                <w:lang w:val="en-US" w:eastAsia="zh-CN"/>
              </w:rPr>
            </w:pP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注：本表反映部门本年度各项支出情况。</w:t>
      </w:r>
      <w:r>
        <w:rPr>
          <w:rFonts w:hint="eastAsia" w:ascii="宋体" w:hAnsi="宋体" w:cs="宋体"/>
          <w:color w:val="000000"/>
          <w:kern w:val="0"/>
          <w:szCs w:val="21"/>
          <w:lang w:val="en-US" w:eastAsia="zh-CN"/>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财政拨款收入支出决算总表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公开04表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val="en-US" w:eastAsia="zh-CN"/>
        </w:rPr>
        <w:t xml:space="preserve">杨陵区委统战部     </w:t>
      </w:r>
      <w:r>
        <w:rPr>
          <w:rFonts w:hint="eastAsia" w:ascii="宋体" w:hAnsi="宋体" w:cs="宋体"/>
          <w:b/>
          <w:bCs/>
          <w:szCs w:val="21"/>
        </w:rPr>
        <w:t xml:space="preserve">                                   金额单位：万元</w:t>
      </w:r>
    </w:p>
    <w:tbl>
      <w:tblPr>
        <w:tblStyle w:val="6"/>
        <w:tblW w:w="8700" w:type="dxa"/>
        <w:tblInd w:w="0" w:type="dxa"/>
        <w:tblLayout w:type="fixed"/>
        <w:tblCellMar>
          <w:top w:w="15" w:type="dxa"/>
          <w:left w:w="15" w:type="dxa"/>
          <w:bottom w:w="15" w:type="dxa"/>
          <w:right w:w="15" w:type="dxa"/>
        </w:tblCellMar>
      </w:tblPr>
      <w:tblGrid>
        <w:gridCol w:w="1705"/>
        <w:gridCol w:w="1072"/>
        <w:gridCol w:w="2703"/>
        <w:gridCol w:w="1134"/>
        <w:gridCol w:w="1102"/>
        <w:gridCol w:w="984"/>
      </w:tblGrid>
      <w:tr>
        <w:tblPrEx>
          <w:tblCellMar>
            <w:top w:w="15" w:type="dxa"/>
            <w:left w:w="15" w:type="dxa"/>
            <w:bottom w:w="15" w:type="dxa"/>
            <w:right w:w="15" w:type="dxa"/>
          </w:tblCellMar>
        </w:tblPrEx>
        <w:trPr>
          <w:trHeight w:val="367" w:hRule="atLeast"/>
        </w:trPr>
        <w:tc>
          <w:tcPr>
            <w:tcW w:w="277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000000"/>
                <w:kern w:val="2"/>
                <w:sz w:val="21"/>
                <w:szCs w:val="21"/>
                <w:lang w:val="en-US" w:eastAsia="zh-CN" w:bidi="ar-SA"/>
              </w:rPr>
            </w:pPr>
            <w:r>
              <w:rPr>
                <w:rFonts w:hint="eastAsia" w:ascii="宋体" w:hAnsi="宋体" w:cs="宋体"/>
                <w:b/>
                <w:color w:val="000000"/>
                <w:kern w:val="2"/>
                <w:sz w:val="21"/>
                <w:szCs w:val="21"/>
                <w:lang w:val="en-US" w:eastAsia="zh-CN" w:bidi="ar-SA"/>
              </w:rPr>
              <w:t>收入</w:t>
            </w:r>
          </w:p>
        </w:tc>
        <w:tc>
          <w:tcPr>
            <w:tcW w:w="5923"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000000"/>
                <w:kern w:val="2"/>
                <w:sz w:val="21"/>
                <w:szCs w:val="21"/>
                <w:lang w:val="en-US" w:eastAsia="zh-CN" w:bidi="ar-SA"/>
              </w:rPr>
            </w:pPr>
            <w:r>
              <w:rPr>
                <w:rFonts w:hint="eastAsia" w:ascii="宋体" w:hAnsi="宋体" w:cs="宋体"/>
                <w:b/>
                <w:color w:val="000000"/>
                <w:kern w:val="2"/>
                <w:sz w:val="21"/>
                <w:szCs w:val="21"/>
                <w:lang w:val="en-US" w:eastAsia="zh-CN" w:bidi="ar-SA"/>
              </w:rPr>
              <w:t>支出</w:t>
            </w:r>
          </w:p>
        </w:tc>
      </w:tr>
      <w:tr>
        <w:tblPrEx>
          <w:tblCellMar>
            <w:top w:w="15" w:type="dxa"/>
            <w:left w:w="15" w:type="dxa"/>
            <w:bottom w:w="15" w:type="dxa"/>
            <w:right w:w="15" w:type="dxa"/>
          </w:tblCellMar>
        </w:tblPrEx>
        <w:trPr>
          <w:trHeight w:val="1020"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项    目</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决算数</w:t>
            </w: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项目</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合计</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一般公共预算财政拨款</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1、一般公共预算财政拨款</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123.82</w:t>
            </w: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1、一般公共服务支出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123.82</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123.82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2、政府性基金预算财政拨款</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lang w:val="en-US" w:eastAsia="zh-CN"/>
              </w:rPr>
              <w:t>2</w:t>
            </w:r>
            <w:r>
              <w:rPr>
                <w:rFonts w:hint="eastAsia" w:ascii="宋体" w:hAnsi="宋体" w:cs="宋体"/>
                <w:color w:val="000000"/>
                <w:kern w:val="0"/>
                <w:szCs w:val="21"/>
              </w:rPr>
              <w:t>、外交支出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3、国有资本经营预算收入</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3、国防支出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4、公共安全支出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5、教育支出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6、科学技术支出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7、</w:t>
            </w:r>
            <w:r>
              <w:rPr>
                <w:rFonts w:hint="eastAsia" w:ascii="宋体" w:hAnsi="宋体" w:cs="宋体"/>
                <w:color w:val="000000"/>
                <w:spacing w:val="-11"/>
                <w:w w:val="98"/>
                <w:kern w:val="0"/>
                <w:szCs w:val="21"/>
              </w:rPr>
              <w:t>文化</w:t>
            </w:r>
            <w:r>
              <w:rPr>
                <w:rFonts w:hint="eastAsia" w:ascii="宋体" w:hAnsi="宋体" w:cs="宋体"/>
                <w:color w:val="000000"/>
                <w:spacing w:val="-11"/>
                <w:w w:val="98"/>
                <w:kern w:val="0"/>
                <w:szCs w:val="21"/>
                <w:lang w:eastAsia="zh-CN"/>
              </w:rPr>
              <w:t>旅游</w:t>
            </w:r>
            <w:r>
              <w:rPr>
                <w:rFonts w:hint="eastAsia" w:ascii="宋体" w:hAnsi="宋体" w:cs="宋体"/>
                <w:color w:val="000000"/>
                <w:spacing w:val="-11"/>
                <w:w w:val="98"/>
                <w:kern w:val="0"/>
                <w:szCs w:val="21"/>
              </w:rPr>
              <w:t>体育与传媒支出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8、社会保障和就业支出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9、</w:t>
            </w:r>
            <w:r>
              <w:rPr>
                <w:rFonts w:hint="eastAsia" w:ascii="宋体" w:hAnsi="宋体" w:cs="宋体"/>
                <w:color w:val="000000"/>
                <w:kern w:val="0"/>
                <w:szCs w:val="21"/>
                <w:lang w:eastAsia="zh-CN"/>
              </w:rPr>
              <w:t>卫生健康</w:t>
            </w:r>
            <w:r>
              <w:rPr>
                <w:rFonts w:hint="eastAsia" w:ascii="宋体" w:hAnsi="宋体" w:cs="宋体"/>
                <w:color w:val="000000"/>
                <w:kern w:val="0"/>
                <w:szCs w:val="21"/>
              </w:rPr>
              <w:t>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lang w:val="en-US" w:eastAsia="zh-CN"/>
              </w:rPr>
              <w:t>1</w:t>
            </w:r>
            <w:r>
              <w:rPr>
                <w:rFonts w:hint="eastAsia" w:ascii="宋体" w:hAnsi="宋体" w:cs="宋体"/>
                <w:color w:val="000000"/>
                <w:kern w:val="0"/>
                <w:szCs w:val="21"/>
              </w:rPr>
              <w:t>0、节能环保支出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11、城乡社区支出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12、农林水支出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13、交通运输支出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14、资源勘探信息等支出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15、商业服务业等支出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16、金融支出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17、援助其他地区支出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18、</w:t>
            </w:r>
            <w:r>
              <w:rPr>
                <w:rFonts w:hint="eastAsia" w:ascii="宋体" w:hAnsi="宋体" w:cs="宋体"/>
                <w:color w:val="000000"/>
                <w:spacing w:val="-11"/>
                <w:w w:val="98"/>
                <w:kern w:val="0"/>
                <w:szCs w:val="21"/>
                <w:lang w:eastAsia="zh-CN"/>
              </w:rPr>
              <w:t>自然资源</w:t>
            </w:r>
            <w:r>
              <w:rPr>
                <w:rFonts w:hint="eastAsia" w:ascii="宋体" w:hAnsi="宋体" w:cs="宋体"/>
                <w:color w:val="000000"/>
                <w:spacing w:val="-11"/>
                <w:w w:val="98"/>
                <w:kern w:val="0"/>
                <w:szCs w:val="21"/>
              </w:rPr>
              <w:t>海洋气象等支出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19、住房保障支出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20、粮油物资储备支出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2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Cs w:val="21"/>
              </w:rPr>
              <w:t>21、</w:t>
            </w:r>
            <w:r>
              <w:rPr>
                <w:rFonts w:hint="eastAsia" w:ascii="宋体" w:hAnsi="宋体" w:cs="宋体"/>
                <w:color w:val="000000"/>
                <w:kern w:val="0"/>
                <w:szCs w:val="21"/>
                <w:lang w:eastAsia="zh-CN"/>
              </w:rPr>
              <w:t>灾害防治及应急管理支出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22、</w:t>
            </w:r>
            <w:r>
              <w:rPr>
                <w:rFonts w:hint="eastAsia" w:ascii="宋体" w:hAnsi="宋体" w:cs="宋体"/>
                <w:color w:val="000000"/>
                <w:kern w:val="0"/>
                <w:szCs w:val="21"/>
              </w:rPr>
              <w:t>其他支出</w:t>
            </w:r>
          </w:p>
        </w:tc>
        <w:tc>
          <w:tcPr>
            <w:tcW w:w="113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8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highlight w:val="none"/>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宋体" w:hAnsi="宋体" w:cs="宋体"/>
                <w:color w:val="000000"/>
                <w:kern w:val="0"/>
                <w:sz w:val="21"/>
                <w:szCs w:val="21"/>
                <w:highlight w:val="none"/>
                <w:lang w:val="en-US" w:eastAsia="zh-CN" w:bidi="ar-SA"/>
              </w:rPr>
            </w:pPr>
            <w:r>
              <w:rPr>
                <w:rFonts w:hint="eastAsia" w:ascii="宋体" w:hAnsi="宋体" w:cs="宋体"/>
                <w:color w:val="000000"/>
                <w:kern w:val="0"/>
                <w:szCs w:val="21"/>
                <w:highlight w:val="none"/>
                <w:lang w:val="en-US" w:eastAsia="zh-CN"/>
              </w:rPr>
              <w:t>24、债务还本支出</w:t>
            </w:r>
          </w:p>
        </w:tc>
        <w:tc>
          <w:tcPr>
            <w:tcW w:w="113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8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highlight w:val="none"/>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宋体" w:hAnsi="宋体" w:cs="宋体"/>
                <w:color w:val="000000"/>
                <w:kern w:val="0"/>
                <w:sz w:val="21"/>
                <w:szCs w:val="21"/>
                <w:highlight w:val="none"/>
                <w:lang w:val="en-US" w:eastAsia="zh-CN" w:bidi="ar-SA"/>
              </w:rPr>
            </w:pPr>
            <w:r>
              <w:rPr>
                <w:rFonts w:hint="eastAsia" w:ascii="宋体" w:hAnsi="宋体" w:cs="宋体"/>
                <w:color w:val="000000"/>
                <w:kern w:val="0"/>
                <w:szCs w:val="21"/>
                <w:highlight w:val="none"/>
                <w:lang w:val="en-US" w:eastAsia="zh-CN"/>
              </w:rPr>
              <w:t>25、债务付息支出</w:t>
            </w:r>
          </w:p>
        </w:tc>
        <w:tc>
          <w:tcPr>
            <w:tcW w:w="113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8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highlight w:val="none"/>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宋体" w:hAnsi="宋体" w:cs="宋体"/>
                <w:color w:val="000000"/>
                <w:kern w:val="0"/>
                <w:sz w:val="21"/>
                <w:szCs w:val="21"/>
                <w:highlight w:val="none"/>
                <w:lang w:val="en-US" w:eastAsia="zh-CN" w:bidi="ar-SA"/>
              </w:rPr>
            </w:pPr>
            <w:r>
              <w:rPr>
                <w:rFonts w:hint="eastAsia" w:ascii="宋体" w:hAnsi="宋体" w:cs="宋体"/>
                <w:color w:val="000000"/>
                <w:kern w:val="0"/>
                <w:szCs w:val="21"/>
                <w:highlight w:val="none"/>
                <w:lang w:val="en-US" w:eastAsia="zh-CN"/>
              </w:rPr>
              <w:t>26、抗疫特别国债安排支出</w:t>
            </w:r>
          </w:p>
        </w:tc>
        <w:tc>
          <w:tcPr>
            <w:tcW w:w="113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8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b/>
                <w:color w:val="000000"/>
                <w:szCs w:val="21"/>
                <w:highlight w:val="none"/>
                <w:lang w:val="en-US" w:eastAsia="zh-CN"/>
              </w:rPr>
            </w:pPr>
            <w:r>
              <w:rPr>
                <w:rFonts w:hint="eastAsia" w:ascii="宋体" w:hAnsi="宋体" w:cs="宋体"/>
                <w:b/>
                <w:color w:val="000000"/>
                <w:szCs w:val="21"/>
                <w:highlight w:val="none"/>
                <w:lang w:val="en-US" w:eastAsia="zh-CN"/>
              </w:rPr>
              <w:t>收入总计</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u w:val="none"/>
                <w:lang w:val="en-US" w:eastAsia="zh-CN" w:bidi="ar"/>
              </w:rPr>
              <w:t>123.82</w:t>
            </w: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color w:val="000000"/>
                <w:kern w:val="0"/>
                <w:szCs w:val="21"/>
                <w:highlight w:val="none"/>
                <w:lang w:val="en-US" w:eastAsia="zh-CN"/>
              </w:rPr>
            </w:pPr>
            <w:r>
              <w:rPr>
                <w:rFonts w:hint="eastAsia" w:ascii="宋体" w:hAnsi="宋体" w:cs="宋体"/>
                <w:b/>
                <w:bCs/>
                <w:color w:val="000000"/>
                <w:kern w:val="0"/>
                <w:szCs w:val="21"/>
                <w:highlight w:val="none"/>
                <w:lang w:val="en-US" w:eastAsia="zh-CN"/>
              </w:rPr>
              <w:t>支出总计</w:t>
            </w:r>
          </w:p>
        </w:tc>
        <w:tc>
          <w:tcPr>
            <w:tcW w:w="113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123.82</w:t>
            </w:r>
          </w:p>
        </w:tc>
        <w:tc>
          <w:tcPr>
            <w:tcW w:w="110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123.82</w:t>
            </w:r>
          </w:p>
        </w:tc>
        <w:tc>
          <w:tcPr>
            <w:tcW w:w="98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b/>
                <w:color w:val="000000"/>
                <w:szCs w:val="21"/>
                <w:highlight w:val="none"/>
                <w:lang w:val="en-US" w:eastAsia="zh-CN"/>
              </w:rPr>
            </w:pPr>
            <w:r>
              <w:rPr>
                <w:rFonts w:hint="eastAsia" w:ascii="宋体" w:hAnsi="宋体" w:cs="宋体"/>
                <w:b/>
                <w:color w:val="000000"/>
                <w:szCs w:val="21"/>
                <w:highlight w:val="none"/>
                <w:lang w:val="en-US" w:eastAsia="zh-CN"/>
              </w:rPr>
              <w:t>年初财政拨款结转和结余</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u w:val="none"/>
                <w:lang w:val="en-US" w:eastAsia="zh-CN" w:bidi="ar"/>
              </w:rPr>
              <w:t>0.00</w:t>
            </w: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宋体" w:hAnsi="宋体" w:cs="宋体"/>
                <w:b/>
                <w:bCs/>
                <w:color w:val="000000"/>
                <w:kern w:val="0"/>
                <w:szCs w:val="21"/>
                <w:highlight w:val="none"/>
                <w:lang w:val="en-US" w:eastAsia="zh-CN"/>
              </w:rPr>
            </w:pPr>
            <w:r>
              <w:rPr>
                <w:rFonts w:hint="eastAsia" w:ascii="宋体" w:hAnsi="宋体" w:cs="宋体"/>
                <w:b/>
                <w:color w:val="000000"/>
                <w:szCs w:val="21"/>
                <w:highlight w:val="none"/>
                <w:lang w:val="en-US" w:eastAsia="zh-CN"/>
              </w:rPr>
              <w:t>年末财政拨款结转和结余</w:t>
            </w:r>
          </w:p>
        </w:tc>
        <w:tc>
          <w:tcPr>
            <w:tcW w:w="113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8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b/>
                <w:color w:val="000000"/>
                <w:szCs w:val="21"/>
                <w:highlight w:val="none"/>
                <w:lang w:val="en-US" w:eastAsia="zh-CN"/>
              </w:rPr>
            </w:pPr>
            <w:r>
              <w:rPr>
                <w:rFonts w:hint="eastAsia" w:ascii="宋体" w:hAnsi="宋体" w:cs="宋体"/>
                <w:b/>
                <w:color w:val="000000"/>
                <w:szCs w:val="21"/>
                <w:highlight w:val="none"/>
                <w:lang w:val="en-US" w:eastAsia="zh-CN"/>
              </w:rPr>
              <w:t>一、一般公共预算财政拨款</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u w:val="none"/>
                <w:lang w:val="en-US" w:eastAsia="zh-CN" w:bidi="ar"/>
              </w:rPr>
              <w:t>0.00</w:t>
            </w: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宋体" w:hAnsi="宋体" w:cs="宋体"/>
                <w:b/>
                <w:color w:val="000000"/>
                <w:szCs w:val="21"/>
                <w:highlight w:val="none"/>
                <w:lang w:val="en-US" w:eastAsia="zh-CN"/>
              </w:rPr>
            </w:pPr>
          </w:p>
        </w:tc>
        <w:tc>
          <w:tcPr>
            <w:tcW w:w="1134" w:type="dxa"/>
            <w:tcBorders>
              <w:top w:val="single" w:color="000000" w:sz="4" w:space="0"/>
              <w:bottom w:val="single" w:color="000000" w:sz="4" w:space="0"/>
              <w:right w:val="single" w:color="000000" w:sz="4" w:space="0"/>
            </w:tcBorders>
            <w:noWrap w:val="0"/>
            <w:vAlign w:val="center"/>
          </w:tcPr>
          <w:p>
            <w:pPr>
              <w:jc w:val="right"/>
              <w:rPr>
                <w:rFonts w:hint="default" w:ascii="宋体" w:hAnsi="宋体" w:eastAsia="宋体" w:cs="宋体"/>
                <w:color w:val="000000"/>
                <w:kern w:val="0"/>
                <w:sz w:val="21"/>
                <w:szCs w:val="21"/>
                <w:lang w:val="en-US" w:eastAsia="zh-CN" w:bidi="ar-SA"/>
              </w:rPr>
            </w:pPr>
          </w:p>
        </w:tc>
        <w:tc>
          <w:tcPr>
            <w:tcW w:w="1102" w:type="dxa"/>
            <w:tcBorders>
              <w:top w:val="single" w:color="000000" w:sz="4" w:space="0"/>
              <w:bottom w:val="single" w:color="000000" w:sz="4" w:space="0"/>
              <w:right w:val="single" w:color="000000" w:sz="4" w:space="0"/>
            </w:tcBorders>
            <w:noWrap w:val="0"/>
            <w:vAlign w:val="center"/>
          </w:tcPr>
          <w:p>
            <w:pPr>
              <w:jc w:val="right"/>
              <w:rPr>
                <w:rFonts w:ascii="宋体" w:hAnsi="宋体" w:cs="宋体"/>
                <w:b/>
                <w:color w:val="000000"/>
                <w:szCs w:val="21"/>
              </w:rPr>
            </w:pPr>
          </w:p>
        </w:tc>
        <w:tc>
          <w:tcPr>
            <w:tcW w:w="984" w:type="dxa"/>
            <w:tcBorders>
              <w:top w:val="single" w:color="000000" w:sz="4" w:space="0"/>
              <w:bottom w:val="single" w:color="000000" w:sz="4" w:space="0"/>
              <w:right w:val="single" w:color="000000" w:sz="4" w:space="0"/>
            </w:tcBorders>
            <w:noWrap w:val="0"/>
            <w:vAlign w:val="center"/>
          </w:tcPr>
          <w:p>
            <w:pPr>
              <w:jc w:val="right"/>
              <w:rPr>
                <w:rFonts w:ascii="宋体" w:hAnsi="宋体" w:cs="宋体"/>
                <w:b/>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b/>
                <w:color w:val="000000"/>
                <w:szCs w:val="21"/>
                <w:highlight w:val="none"/>
                <w:lang w:val="en-US" w:eastAsia="zh-CN"/>
              </w:rPr>
            </w:pPr>
            <w:r>
              <w:rPr>
                <w:rFonts w:hint="eastAsia" w:ascii="宋体" w:hAnsi="宋体" w:cs="宋体"/>
                <w:b/>
                <w:color w:val="000000"/>
                <w:szCs w:val="21"/>
                <w:highlight w:val="none"/>
                <w:lang w:val="en-US" w:eastAsia="zh-CN"/>
              </w:rPr>
              <w:t>二、政府性基金预算财政拨款</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u w:val="none"/>
                <w:lang w:val="en-US" w:eastAsia="zh-CN" w:bidi="ar"/>
              </w:rPr>
              <w:t>0.00</w:t>
            </w: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宋体" w:hAnsi="宋体" w:cs="宋体"/>
                <w:b/>
                <w:color w:val="000000"/>
                <w:szCs w:val="21"/>
                <w:highlight w:val="none"/>
                <w:lang w:val="en-US" w:eastAsia="zh-CN"/>
              </w:rPr>
            </w:pPr>
          </w:p>
        </w:tc>
        <w:tc>
          <w:tcPr>
            <w:tcW w:w="1134" w:type="dxa"/>
            <w:tcBorders>
              <w:top w:val="single" w:color="000000" w:sz="4" w:space="0"/>
              <w:bottom w:val="single" w:color="000000" w:sz="4" w:space="0"/>
              <w:right w:val="single" w:color="000000" w:sz="4" w:space="0"/>
            </w:tcBorders>
            <w:noWrap w:val="0"/>
            <w:vAlign w:val="center"/>
          </w:tcPr>
          <w:p>
            <w:pPr>
              <w:jc w:val="right"/>
              <w:rPr>
                <w:rFonts w:hint="default" w:ascii="宋体" w:hAnsi="宋体" w:eastAsia="宋体" w:cs="宋体"/>
                <w:color w:val="000000"/>
                <w:kern w:val="0"/>
                <w:sz w:val="21"/>
                <w:szCs w:val="21"/>
                <w:lang w:val="en-US" w:eastAsia="zh-CN" w:bidi="ar-SA"/>
              </w:rPr>
            </w:pPr>
          </w:p>
        </w:tc>
        <w:tc>
          <w:tcPr>
            <w:tcW w:w="1102" w:type="dxa"/>
            <w:tcBorders>
              <w:top w:val="single" w:color="000000" w:sz="4" w:space="0"/>
              <w:bottom w:val="single" w:color="000000" w:sz="4" w:space="0"/>
              <w:right w:val="single" w:color="000000" w:sz="4" w:space="0"/>
            </w:tcBorders>
            <w:noWrap w:val="0"/>
            <w:vAlign w:val="center"/>
          </w:tcPr>
          <w:p>
            <w:pPr>
              <w:jc w:val="right"/>
              <w:rPr>
                <w:rFonts w:ascii="宋体" w:hAnsi="宋体" w:cs="宋体"/>
                <w:b/>
                <w:color w:val="000000"/>
                <w:szCs w:val="21"/>
              </w:rPr>
            </w:pPr>
          </w:p>
        </w:tc>
        <w:tc>
          <w:tcPr>
            <w:tcW w:w="984" w:type="dxa"/>
            <w:tcBorders>
              <w:top w:val="single" w:color="000000" w:sz="4" w:space="0"/>
              <w:bottom w:val="single" w:color="000000" w:sz="4" w:space="0"/>
              <w:right w:val="single" w:color="000000" w:sz="4" w:space="0"/>
            </w:tcBorders>
            <w:noWrap w:val="0"/>
            <w:vAlign w:val="center"/>
          </w:tcPr>
          <w:p>
            <w:pPr>
              <w:jc w:val="right"/>
              <w:rPr>
                <w:rFonts w:ascii="宋体" w:hAnsi="宋体" w:cs="宋体"/>
                <w:b/>
                <w:color w:val="000000"/>
                <w:szCs w:val="21"/>
              </w:rPr>
            </w:pPr>
          </w:p>
        </w:tc>
      </w:tr>
      <w:tr>
        <w:trPr>
          <w:trHeight w:val="378"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b/>
                <w:color w:val="000000"/>
                <w:szCs w:val="21"/>
                <w:highlight w:val="none"/>
                <w:lang w:val="en-US" w:eastAsia="zh-CN"/>
              </w:rPr>
            </w:pPr>
            <w:r>
              <w:rPr>
                <w:rFonts w:hint="eastAsia" w:ascii="宋体" w:hAnsi="宋体" w:cs="宋体"/>
                <w:b/>
                <w:color w:val="000000"/>
                <w:szCs w:val="21"/>
                <w:highlight w:val="none"/>
                <w:lang w:val="en-US" w:eastAsia="zh-CN"/>
              </w:rPr>
              <w:t>三、国有资本经营预算财政拨款</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u w:val="none"/>
                <w:lang w:val="en-US" w:eastAsia="zh-CN" w:bidi="ar"/>
              </w:rPr>
              <w:t>0.00</w:t>
            </w: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宋体" w:hAnsi="宋体" w:cs="宋体"/>
                <w:b/>
                <w:color w:val="000000"/>
                <w:szCs w:val="21"/>
                <w:highlight w:val="none"/>
                <w:lang w:val="en-US" w:eastAsia="zh-CN"/>
              </w:rPr>
            </w:pPr>
          </w:p>
        </w:tc>
        <w:tc>
          <w:tcPr>
            <w:tcW w:w="1134" w:type="dxa"/>
            <w:tcBorders>
              <w:top w:val="single" w:color="000000" w:sz="4" w:space="0"/>
              <w:bottom w:val="single" w:color="000000" w:sz="4" w:space="0"/>
              <w:right w:val="single" w:color="000000" w:sz="4" w:space="0"/>
            </w:tcBorders>
            <w:noWrap w:val="0"/>
            <w:vAlign w:val="center"/>
          </w:tcPr>
          <w:p>
            <w:pPr>
              <w:jc w:val="right"/>
              <w:rPr>
                <w:rFonts w:hint="default" w:ascii="宋体" w:hAnsi="宋体" w:eastAsia="宋体" w:cs="宋体"/>
                <w:color w:val="000000"/>
                <w:kern w:val="0"/>
                <w:sz w:val="21"/>
                <w:szCs w:val="21"/>
                <w:lang w:val="en-US" w:eastAsia="zh-CN" w:bidi="ar-SA"/>
              </w:rPr>
            </w:pPr>
          </w:p>
        </w:tc>
        <w:tc>
          <w:tcPr>
            <w:tcW w:w="1102" w:type="dxa"/>
            <w:tcBorders>
              <w:top w:val="single" w:color="000000" w:sz="4" w:space="0"/>
              <w:bottom w:val="single" w:color="000000" w:sz="4" w:space="0"/>
              <w:right w:val="single" w:color="000000" w:sz="4" w:space="0"/>
            </w:tcBorders>
            <w:noWrap w:val="0"/>
            <w:vAlign w:val="center"/>
          </w:tcPr>
          <w:p>
            <w:pPr>
              <w:jc w:val="right"/>
              <w:rPr>
                <w:rFonts w:ascii="宋体" w:hAnsi="宋体" w:cs="宋体"/>
                <w:b/>
                <w:color w:val="000000"/>
                <w:szCs w:val="21"/>
              </w:rPr>
            </w:pPr>
          </w:p>
        </w:tc>
        <w:tc>
          <w:tcPr>
            <w:tcW w:w="984" w:type="dxa"/>
            <w:tcBorders>
              <w:top w:val="single" w:color="000000" w:sz="4" w:space="0"/>
              <w:bottom w:val="single" w:color="000000" w:sz="4" w:space="0"/>
              <w:right w:val="single" w:color="000000" w:sz="4" w:space="0"/>
            </w:tcBorders>
            <w:noWrap w:val="0"/>
            <w:vAlign w:val="center"/>
          </w:tcPr>
          <w:p>
            <w:pPr>
              <w:jc w:val="right"/>
              <w:rPr>
                <w:rFonts w:ascii="宋体" w:hAnsi="宋体" w:cs="宋体"/>
                <w:b/>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b/>
                <w:color w:val="000000"/>
                <w:szCs w:val="21"/>
                <w:highlight w:val="none"/>
                <w:lang w:val="en-US" w:eastAsia="zh-CN"/>
              </w:rPr>
            </w:pPr>
            <w:r>
              <w:rPr>
                <w:rFonts w:hint="eastAsia" w:ascii="宋体" w:hAnsi="宋体" w:cs="宋体"/>
                <w:b/>
                <w:color w:val="000000"/>
                <w:szCs w:val="21"/>
                <w:highlight w:val="none"/>
                <w:lang w:val="en-US" w:eastAsia="zh-CN"/>
              </w:rPr>
              <w:t>总计</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u w:val="none"/>
                <w:lang w:val="en-US" w:eastAsia="zh-CN" w:bidi="ar"/>
              </w:rPr>
              <w:t>123.82</w:t>
            </w: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b/>
                <w:color w:val="000000"/>
                <w:szCs w:val="21"/>
                <w:highlight w:val="none"/>
                <w:lang w:val="en-US" w:eastAsia="zh-CN"/>
              </w:rPr>
            </w:pPr>
            <w:r>
              <w:rPr>
                <w:rFonts w:hint="eastAsia" w:ascii="宋体" w:hAnsi="宋体" w:cs="宋体"/>
                <w:b/>
                <w:color w:val="000000"/>
                <w:szCs w:val="21"/>
                <w:highlight w:val="none"/>
                <w:lang w:val="en-US" w:eastAsia="zh-CN"/>
              </w:rPr>
              <w:t>总计</w:t>
            </w:r>
          </w:p>
        </w:tc>
        <w:tc>
          <w:tcPr>
            <w:tcW w:w="113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123.82</w:t>
            </w:r>
          </w:p>
        </w:tc>
        <w:tc>
          <w:tcPr>
            <w:tcW w:w="110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123.82</w:t>
            </w:r>
          </w:p>
        </w:tc>
        <w:tc>
          <w:tcPr>
            <w:tcW w:w="98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0.00</w:t>
            </w:r>
          </w:p>
        </w:tc>
      </w:tr>
    </w:tbl>
    <w:p>
      <w:pPr>
        <w:keepNext w:val="0"/>
        <w:keepLines w:val="0"/>
        <w:widowControl/>
        <w:suppressLineNumbers w:val="0"/>
        <w:jc w:val="left"/>
      </w:pPr>
      <w:r>
        <w:rPr>
          <w:rFonts w:hint="eastAsia" w:ascii="宋体" w:hAnsi="宋体" w:cs="宋体"/>
          <w:szCs w:val="21"/>
        </w:rPr>
        <w:t>注：本表反映部门本年度一般公共预算财政拨款和政府性基金预算财政拨款的总收支和年末结转结余情况</w:t>
      </w:r>
      <w:r>
        <w:rPr>
          <w:rFonts w:hint="eastAsia" w:ascii="宋体" w:hAnsi="宋体" w:cs="宋体"/>
          <w:szCs w:val="21"/>
          <w:lang w:eastAsia="zh-CN"/>
        </w:rPr>
        <w:t>。</w:t>
      </w:r>
      <w:r>
        <w:rPr>
          <w:rFonts w:hint="eastAsia" w:ascii="宋体" w:hAnsi="宋体" w:cs="宋体"/>
          <w:color w:val="000000"/>
          <w:kern w:val="0"/>
          <w:szCs w:val="21"/>
          <w:lang w:val="en-US" w:eastAsia="zh-CN"/>
        </w:rPr>
        <w:t>本表金额转换为万元时，因四舍五入可能存在尾差。</w:t>
      </w:r>
    </w:p>
    <w:p>
      <w:pPr>
        <w:jc w:val="center"/>
        <w:rPr>
          <w:rFonts w:hint="eastAsia" w:ascii="宋体" w:hAnsi="宋体" w:cs="宋体"/>
          <w:b/>
          <w:bCs/>
          <w:sz w:val="32"/>
          <w:szCs w:val="32"/>
        </w:rPr>
      </w:pPr>
    </w:p>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一般公共预算财政拨款支出决算表（按功能分类科目）</w:t>
      </w:r>
    </w:p>
    <w:p>
      <w:pPr>
        <w:rPr>
          <w:rFonts w:ascii="宋体" w:hAnsi="宋体" w:cs="宋体"/>
          <w:b/>
          <w:bCs/>
          <w:szCs w:val="21"/>
        </w:rPr>
      </w:pPr>
      <w:r>
        <w:rPr>
          <w:rFonts w:hint="eastAsia" w:ascii="宋体" w:hAnsi="宋体" w:cs="宋体"/>
          <w:b/>
          <w:bCs/>
          <w:szCs w:val="21"/>
        </w:rPr>
        <w:t xml:space="preserve">                                                                         公开05表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val="en-US" w:eastAsia="zh-CN"/>
        </w:rPr>
        <w:t xml:space="preserve">杨陵区委统战部        </w:t>
      </w:r>
      <w:r>
        <w:rPr>
          <w:rFonts w:hint="eastAsia" w:ascii="宋体" w:hAnsi="宋体" w:cs="宋体"/>
          <w:b/>
          <w:bCs/>
          <w:szCs w:val="21"/>
        </w:rPr>
        <w:t xml:space="preserve">                                  金额单位：万元</w:t>
      </w:r>
    </w:p>
    <w:tbl>
      <w:tblPr>
        <w:tblStyle w:val="6"/>
        <w:tblW w:w="8777" w:type="dxa"/>
        <w:tblInd w:w="0" w:type="dxa"/>
        <w:tblLayout w:type="fixed"/>
        <w:tblCellMar>
          <w:top w:w="15" w:type="dxa"/>
          <w:left w:w="15" w:type="dxa"/>
          <w:bottom w:w="15" w:type="dxa"/>
          <w:right w:w="15" w:type="dxa"/>
        </w:tblCellMar>
      </w:tblPr>
      <w:tblGrid>
        <w:gridCol w:w="1170"/>
        <w:gridCol w:w="1537"/>
        <w:gridCol w:w="1006"/>
        <w:gridCol w:w="1020"/>
        <w:gridCol w:w="935"/>
        <w:gridCol w:w="1039"/>
        <w:gridCol w:w="1020"/>
        <w:gridCol w:w="1050"/>
      </w:tblGrid>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0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2994" w:type="dxa"/>
            <w:gridSpan w:val="3"/>
            <w:tcBorders>
              <w:top w:val="single" w:color="000000" w:sz="4" w:space="0"/>
              <w:left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0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123.82</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117.22</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107.96</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9.26</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6.60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201</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一般公共服务支出</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123.81</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117.22</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107.96</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9.26</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6.59</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20128</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民主党派及工商联事务</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33.43</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30.83</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30.83</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2.60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2012850</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30.83</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30.83</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30.83</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2012899</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其他民主党派及工商联事务支出</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2.60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2.60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20134</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统战事务</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90.38</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86.39</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77.13</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9.26</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3.99</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2013401</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86.39</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86.39</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77.13</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9.26</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2013404</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宗教事务</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3.99</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3.99</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lang w:val="en-US" w:eastAsia="zh-CN"/>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一般公共预算财政拨款基本支出决算表（按经济分类科目）</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公开06表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val="en-US" w:eastAsia="zh-CN"/>
        </w:rPr>
        <w:t xml:space="preserve">杨陵区委统战部         </w:t>
      </w:r>
      <w:r>
        <w:rPr>
          <w:rFonts w:hint="eastAsia" w:ascii="宋体" w:hAnsi="宋体" w:cs="宋体"/>
          <w:b/>
          <w:bCs/>
          <w:szCs w:val="21"/>
        </w:rPr>
        <w:t xml:space="preserve">                                  金额单位：万元</w:t>
      </w:r>
    </w:p>
    <w:tbl>
      <w:tblPr>
        <w:tblStyle w:val="6"/>
        <w:tblW w:w="8817" w:type="dxa"/>
        <w:tblInd w:w="0" w:type="dxa"/>
        <w:tblLayout w:type="fixed"/>
        <w:tblCellMar>
          <w:top w:w="15" w:type="dxa"/>
          <w:left w:w="15" w:type="dxa"/>
          <w:bottom w:w="15" w:type="dxa"/>
          <w:right w:w="15" w:type="dxa"/>
        </w:tblCellMar>
      </w:tblPr>
      <w:tblGrid>
        <w:gridCol w:w="1157"/>
        <w:gridCol w:w="3385"/>
        <w:gridCol w:w="1066"/>
        <w:gridCol w:w="1137"/>
        <w:gridCol w:w="1221"/>
        <w:gridCol w:w="851"/>
      </w:tblGrid>
      <w:tr>
        <w:tblPrEx>
          <w:tblCellMar>
            <w:top w:w="15" w:type="dxa"/>
            <w:left w:w="15" w:type="dxa"/>
            <w:bottom w:w="15" w:type="dxa"/>
            <w:right w:w="15" w:type="dxa"/>
          </w:tblCellMar>
        </w:tblPrEx>
        <w:trPr>
          <w:trHeight w:val="340" w:hRule="atLeast"/>
        </w:trPr>
        <w:tc>
          <w:tcPr>
            <w:tcW w:w="454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6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13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22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85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597"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经济分类科目编码</w:t>
            </w:r>
          </w:p>
        </w:tc>
        <w:tc>
          <w:tcPr>
            <w:tcW w:w="33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11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12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92" w:hRule="atLeast"/>
        </w:trPr>
        <w:tc>
          <w:tcPr>
            <w:tcW w:w="454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066"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117.22</w:t>
            </w:r>
          </w:p>
        </w:tc>
        <w:tc>
          <w:tcPr>
            <w:tcW w:w="1137"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107.96</w:t>
            </w:r>
          </w:p>
        </w:tc>
        <w:tc>
          <w:tcPr>
            <w:tcW w:w="1221"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9.26</w:t>
            </w:r>
          </w:p>
        </w:tc>
        <w:tc>
          <w:tcPr>
            <w:tcW w:w="851" w:type="dxa"/>
            <w:tcBorders>
              <w:left w:val="single" w:color="000000" w:sz="4" w:space="0"/>
              <w:bottom w:val="single" w:color="000000" w:sz="4" w:space="0"/>
              <w:right w:val="single" w:color="000000" w:sz="4" w:space="0"/>
            </w:tcBorders>
            <w:noWrap w:val="0"/>
            <w:vAlign w:val="center"/>
          </w:tcPr>
          <w:p>
            <w:pPr>
              <w:jc w:val="right"/>
              <w:rPr>
                <w:rFonts w:ascii="宋体" w:hAnsi="宋体" w:cs="宋体"/>
                <w:b/>
                <w:color w:val="000000"/>
                <w:szCs w:val="21"/>
              </w:rPr>
            </w:pPr>
          </w:p>
        </w:tc>
      </w:tr>
      <w:tr>
        <w:tblPrEx>
          <w:tblCellMar>
            <w:top w:w="15" w:type="dxa"/>
            <w:left w:w="15" w:type="dxa"/>
            <w:bottom w:w="15" w:type="dxa"/>
            <w:right w:w="15" w:type="dxa"/>
          </w:tblCellMar>
        </w:tblPrEx>
        <w:trPr>
          <w:trHeight w:val="361"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301</w:t>
            </w:r>
          </w:p>
        </w:tc>
        <w:tc>
          <w:tcPr>
            <w:tcW w:w="3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工资福利支出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107.96</w:t>
            </w: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02"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30101</w:t>
            </w:r>
          </w:p>
        </w:tc>
        <w:tc>
          <w:tcPr>
            <w:tcW w:w="3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34.20</w:t>
            </w: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3"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30102</w:t>
            </w:r>
          </w:p>
        </w:tc>
        <w:tc>
          <w:tcPr>
            <w:tcW w:w="3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27.43</w:t>
            </w: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1"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30103</w:t>
            </w:r>
          </w:p>
        </w:tc>
        <w:tc>
          <w:tcPr>
            <w:tcW w:w="3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奖金</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12.47</w:t>
            </w: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3"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30106</w:t>
            </w:r>
          </w:p>
        </w:tc>
        <w:tc>
          <w:tcPr>
            <w:tcW w:w="3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1.89</w:t>
            </w: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02"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30107</w:t>
            </w:r>
          </w:p>
        </w:tc>
        <w:tc>
          <w:tcPr>
            <w:tcW w:w="3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8.53</w:t>
            </w: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3"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30108</w:t>
            </w:r>
          </w:p>
        </w:tc>
        <w:tc>
          <w:tcPr>
            <w:tcW w:w="3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9.12</w:t>
            </w: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3"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30110</w:t>
            </w:r>
          </w:p>
        </w:tc>
        <w:tc>
          <w:tcPr>
            <w:tcW w:w="3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4.01</w:t>
            </w: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3"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30112</w:t>
            </w:r>
          </w:p>
        </w:tc>
        <w:tc>
          <w:tcPr>
            <w:tcW w:w="3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0.09</w:t>
            </w: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0"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30113</w:t>
            </w:r>
          </w:p>
        </w:tc>
        <w:tc>
          <w:tcPr>
            <w:tcW w:w="3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10.21</w:t>
            </w: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2"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302</w:t>
            </w:r>
          </w:p>
        </w:tc>
        <w:tc>
          <w:tcPr>
            <w:tcW w:w="3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商品和服务支出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9.13</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3"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30201</w:t>
            </w:r>
          </w:p>
        </w:tc>
        <w:tc>
          <w:tcPr>
            <w:tcW w:w="3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0.57</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03"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30204</w:t>
            </w:r>
          </w:p>
        </w:tc>
        <w:tc>
          <w:tcPr>
            <w:tcW w:w="3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0.01</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51"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30205</w:t>
            </w:r>
          </w:p>
        </w:tc>
        <w:tc>
          <w:tcPr>
            <w:tcW w:w="3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水费</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0.14</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0"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30207</w:t>
            </w:r>
          </w:p>
        </w:tc>
        <w:tc>
          <w:tcPr>
            <w:tcW w:w="3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2.05</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1"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30211</w:t>
            </w:r>
          </w:p>
        </w:tc>
        <w:tc>
          <w:tcPr>
            <w:tcW w:w="3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0.52</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02"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30217</w:t>
            </w:r>
          </w:p>
        </w:tc>
        <w:tc>
          <w:tcPr>
            <w:tcW w:w="3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0.34</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03"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30228</w:t>
            </w:r>
          </w:p>
        </w:tc>
        <w:tc>
          <w:tcPr>
            <w:tcW w:w="3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1.98</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3"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30239</w:t>
            </w:r>
          </w:p>
        </w:tc>
        <w:tc>
          <w:tcPr>
            <w:tcW w:w="3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3.52</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1"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w:t>
            </w:r>
          </w:p>
        </w:tc>
        <w:tc>
          <w:tcPr>
            <w:tcW w:w="3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资本性支出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0.14</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2"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31002</w:t>
            </w:r>
          </w:p>
        </w:tc>
        <w:tc>
          <w:tcPr>
            <w:tcW w:w="3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0.14</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lang w:val="en-US" w:eastAsia="zh-CN"/>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一般公共预算财政拨款“三公”经费</w:t>
      </w:r>
    </w:p>
    <w:p>
      <w:pPr>
        <w:spacing w:line="520" w:lineRule="exact"/>
        <w:jc w:val="center"/>
        <w:rPr>
          <w:rFonts w:ascii="宋体" w:hAnsi="宋体" w:cs="宋体"/>
          <w:b/>
          <w:bCs/>
          <w:sz w:val="32"/>
          <w:szCs w:val="32"/>
        </w:rPr>
      </w:pPr>
      <w:r>
        <w:rPr>
          <w:rFonts w:hint="eastAsia" w:ascii="宋体" w:hAnsi="宋体" w:cs="宋体"/>
          <w:b/>
          <w:bCs/>
          <w:sz w:val="32"/>
          <w:szCs w:val="32"/>
        </w:rPr>
        <w:t>及会议费、培训费支出决算表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 xml:space="preserve">      公开07表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val="en-US" w:eastAsia="zh-CN"/>
        </w:rPr>
        <w:t xml:space="preserve">杨陵区委统战部                </w:t>
      </w:r>
      <w:r>
        <w:rPr>
          <w:rFonts w:hint="eastAsia" w:ascii="宋体" w:hAnsi="宋体" w:cs="宋体"/>
          <w:b/>
          <w:bCs/>
          <w:szCs w:val="21"/>
        </w:rPr>
        <w:t xml:space="preserve">                            金额单位：万元</w:t>
      </w:r>
    </w:p>
    <w:tbl>
      <w:tblPr>
        <w:tblStyle w:val="6"/>
        <w:tblW w:w="8858" w:type="dxa"/>
        <w:tblInd w:w="0" w:type="dxa"/>
        <w:tblLayout w:type="fixed"/>
        <w:tblCellMar>
          <w:top w:w="15" w:type="dxa"/>
          <w:left w:w="15" w:type="dxa"/>
          <w:bottom w:w="15" w:type="dxa"/>
          <w:right w:w="15" w:type="dxa"/>
        </w:tblCellMar>
      </w:tblPr>
      <w:tblGrid>
        <w:gridCol w:w="1079"/>
        <w:gridCol w:w="985"/>
        <w:gridCol w:w="1117"/>
        <w:gridCol w:w="878"/>
        <w:gridCol w:w="878"/>
        <w:gridCol w:w="998"/>
        <w:gridCol w:w="1189"/>
        <w:gridCol w:w="772"/>
        <w:gridCol w:w="962"/>
      </w:tblGrid>
      <w:tr>
        <w:tblPrEx>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6045"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一般公共预算财政拨款安排的“三公”经费</w:t>
            </w:r>
          </w:p>
        </w:tc>
        <w:tc>
          <w:tcPr>
            <w:tcW w:w="77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会议费</w:t>
            </w:r>
          </w:p>
        </w:tc>
        <w:tc>
          <w:tcPr>
            <w:tcW w:w="96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培训费</w:t>
            </w: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98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11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因公出国（境）费用</w:t>
            </w:r>
          </w:p>
        </w:tc>
        <w:tc>
          <w:tcPr>
            <w:tcW w:w="87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公务接待费</w:t>
            </w:r>
          </w:p>
        </w:tc>
        <w:tc>
          <w:tcPr>
            <w:tcW w:w="306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公务用车购置及运行维护费</w:t>
            </w:r>
          </w:p>
        </w:tc>
        <w:tc>
          <w:tcPr>
            <w:tcW w:w="77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9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8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公务用车购置费</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公务用车运行维护费</w:t>
            </w:r>
          </w:p>
        </w:tc>
        <w:tc>
          <w:tcPr>
            <w:tcW w:w="77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1</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2</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3</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4</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5</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6</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7</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8</w:t>
            </w:r>
          </w:p>
        </w:tc>
      </w:tr>
      <w:tr>
        <w:tblPrEx>
          <w:tblCellMar>
            <w:top w:w="15" w:type="dxa"/>
            <w:left w:w="15" w:type="dxa"/>
            <w:bottom w:w="15" w:type="dxa"/>
            <w:right w:w="15" w:type="dxa"/>
          </w:tblCellMar>
        </w:tblPrEx>
        <w:trPr>
          <w:trHeight w:val="726" w:hRule="atLeast"/>
        </w:trPr>
        <w:tc>
          <w:tcPr>
            <w:tcW w:w="10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预算数</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0.60</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0.34</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0.26</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0.26</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0.34</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0.34</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0.00</w:t>
            </w:r>
          </w:p>
        </w:tc>
      </w:tr>
    </w:tbl>
    <w:p>
      <w:pPr>
        <w:keepNext w:val="0"/>
        <w:keepLines w:val="0"/>
        <w:widowControl/>
        <w:suppressLineNumbers w:val="0"/>
        <w:jc w:val="left"/>
      </w:pPr>
      <w:r>
        <w:rPr>
          <w:rFonts w:hint="eastAsia" w:ascii="宋体" w:hAnsi="宋体" w:cs="宋体"/>
          <w:szCs w:val="21"/>
        </w:rPr>
        <w:t>注：本表反映部门本年度一般公共预算财政拨款“三公”经费、会议费、培训费的</w:t>
      </w:r>
      <w:r>
        <w:rPr>
          <w:rFonts w:hint="eastAsia" w:ascii="宋体" w:hAnsi="宋体" w:cs="宋体"/>
          <w:szCs w:val="21"/>
          <w:lang w:eastAsia="zh-CN"/>
        </w:rPr>
        <w:t>预算数和</w:t>
      </w:r>
      <w:r>
        <w:rPr>
          <w:rFonts w:hint="eastAsia" w:ascii="宋体" w:hAnsi="宋体" w:cs="宋体"/>
          <w:szCs w:val="21"/>
        </w:rPr>
        <w:t>实际支出。</w:t>
      </w:r>
      <w:r>
        <w:rPr>
          <w:rFonts w:hint="eastAsia" w:ascii="宋体" w:hAnsi="宋体" w:cs="宋体"/>
          <w:szCs w:val="21"/>
          <w:lang w:eastAsia="zh-CN"/>
        </w:rPr>
        <w:t>预算数为调整预算数。</w:t>
      </w:r>
      <w:r>
        <w:rPr>
          <w:rFonts w:hint="eastAsia" w:ascii="宋体" w:hAnsi="宋体" w:cs="宋体"/>
          <w:color w:val="000000"/>
          <w:kern w:val="0"/>
          <w:szCs w:val="21"/>
          <w:lang w:val="en-US" w:eastAsia="zh-CN"/>
        </w:rPr>
        <w:t>本表金额转换为万元时，因四舍五入可能存在尾差。</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政府性基金预算财政拨款收入支出决算表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公开08表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val="en-US" w:eastAsia="zh-CN"/>
        </w:rPr>
        <w:t xml:space="preserve">杨陵区委统战部        </w:t>
      </w:r>
      <w:r>
        <w:rPr>
          <w:rFonts w:hint="eastAsia" w:ascii="宋体" w:hAnsi="宋体" w:cs="宋体"/>
          <w:b/>
          <w:bCs/>
          <w:szCs w:val="21"/>
        </w:rPr>
        <w:t xml:space="preserve">                                    金额单位：万元</w:t>
      </w:r>
    </w:p>
    <w:tbl>
      <w:tblPr>
        <w:tblStyle w:val="6"/>
        <w:tblW w:w="8877" w:type="dxa"/>
        <w:tblInd w:w="0" w:type="dxa"/>
        <w:tblLayout w:type="fixed"/>
        <w:tblCellMar>
          <w:top w:w="15" w:type="dxa"/>
          <w:left w:w="15" w:type="dxa"/>
          <w:bottom w:w="15" w:type="dxa"/>
          <w:right w:w="15" w:type="dxa"/>
        </w:tblCellMar>
      </w:tblPr>
      <w:tblGrid>
        <w:gridCol w:w="1023"/>
        <w:gridCol w:w="1341"/>
        <w:gridCol w:w="1049"/>
        <w:gridCol w:w="990"/>
        <w:gridCol w:w="930"/>
        <w:gridCol w:w="1049"/>
        <w:gridCol w:w="1024"/>
        <w:gridCol w:w="1471"/>
      </w:tblGrid>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w:t>
            </w:r>
          </w:p>
        </w:tc>
        <w:tc>
          <w:tcPr>
            <w:tcW w:w="3003" w:type="dxa"/>
            <w:gridSpan w:val="3"/>
            <w:tcBorders>
              <w:top w:val="single" w:color="000000" w:sz="4" w:space="0"/>
              <w:left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c>
          <w:tcPr>
            <w:tcW w:w="147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年末结转和结余</w:t>
            </w:r>
          </w:p>
        </w:tc>
      </w:tr>
      <w:tr>
        <w:tblPrEx>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4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049" w:type="dxa"/>
            <w:tcBorders>
              <w:top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14" w:hRule="atLeast"/>
        </w:trPr>
        <w:tc>
          <w:tcPr>
            <w:tcW w:w="1023"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bl>
    <w:p>
      <w:pPr>
        <w:keepNext w:val="0"/>
        <w:keepLines w:val="0"/>
        <w:widowControl/>
        <w:suppressLineNumbers w:val="0"/>
        <w:jc w:val="left"/>
        <w:rPr>
          <w:rFonts w:hint="eastAsia" w:ascii="黑体" w:hAnsi="宋体" w:eastAsia="黑体"/>
          <w:color w:val="000000"/>
          <w:kern w:val="0"/>
          <w:sz w:val="44"/>
          <w:szCs w:val="44"/>
          <w:lang w:bidi="ar"/>
        </w:rPr>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lang w:val="en-US" w:eastAsia="zh-CN"/>
        </w:rPr>
        <w:t>本表金额转换为万元时，因四舍五入可能存在尾差。</w:t>
      </w:r>
    </w:p>
    <w:p>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国有资本经营预算财政拨款支出决算表</w:t>
      </w:r>
    </w:p>
    <w:p>
      <w:pPr>
        <w:jc w:val="right"/>
        <w:rPr>
          <w:rFonts w:ascii="宋体" w:hAnsi="宋体" w:cs="宋体"/>
          <w:b/>
          <w:bCs/>
          <w:szCs w:val="21"/>
        </w:rPr>
      </w:pPr>
      <w:r>
        <w:rPr>
          <w:rFonts w:hint="eastAsia" w:ascii="宋体" w:hAnsi="宋体" w:cs="宋体"/>
          <w:szCs w:val="21"/>
        </w:rPr>
        <w:t xml:space="preserve"> </w:t>
      </w:r>
      <w:r>
        <w:rPr>
          <w:rFonts w:hint="eastAsia" w:ascii="宋体" w:hAnsi="宋体" w:cs="宋体"/>
          <w:b/>
          <w:bCs/>
          <w:szCs w:val="21"/>
        </w:rPr>
        <w:t>公开0</w:t>
      </w:r>
      <w:r>
        <w:rPr>
          <w:rFonts w:hint="eastAsia" w:ascii="宋体" w:hAnsi="宋体" w:cs="宋体"/>
          <w:b/>
          <w:bCs/>
          <w:szCs w:val="21"/>
          <w:lang w:val="en-US" w:eastAsia="zh-CN"/>
        </w:rPr>
        <w:t>9</w:t>
      </w:r>
      <w:r>
        <w:rPr>
          <w:rFonts w:hint="eastAsia" w:ascii="宋体" w:hAnsi="宋体" w:cs="宋体"/>
          <w:b/>
          <w:bCs/>
          <w:szCs w:val="21"/>
          <w:lang w:val="en-US" w:eastAsia="zh-CN"/>
        </w:rPr>
        <w:tab/>
      </w:r>
      <w:r>
        <w:rPr>
          <w:rFonts w:hint="eastAsia" w:ascii="宋体" w:hAnsi="宋体" w:cs="宋体"/>
          <w:b/>
          <w:bCs/>
          <w:szCs w:val="21"/>
        </w:rPr>
        <w:t>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val="en-US" w:eastAsia="zh-CN"/>
        </w:rPr>
        <w:t xml:space="preserve">杨陵区委统战部        </w:t>
      </w:r>
      <w:r>
        <w:rPr>
          <w:rFonts w:hint="eastAsia" w:ascii="宋体" w:hAnsi="宋体" w:cs="宋体"/>
          <w:b/>
          <w:bCs/>
          <w:szCs w:val="21"/>
        </w:rPr>
        <w:t xml:space="preserve">                                   金额单位：万元</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2"/>
        <w:gridCol w:w="1812"/>
        <w:gridCol w:w="1812"/>
        <w:gridCol w:w="1812"/>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4" w:type="dxa"/>
            <w:gridSpan w:val="2"/>
            <w:noWrap w:val="0"/>
            <w:vAlign w:val="top"/>
          </w:tcPr>
          <w:p>
            <w:pPr>
              <w:widowControl w:val="0"/>
              <w:jc w:val="center"/>
              <w:rPr>
                <w:rFonts w:hint="eastAsia" w:ascii="黑体" w:hAnsi="宋体" w:eastAsia="黑体"/>
                <w:color w:val="000000"/>
                <w:kern w:val="0"/>
                <w:sz w:val="44"/>
                <w:szCs w:val="44"/>
                <w:vertAlign w:val="baseline"/>
                <w:lang w:val="en-US" w:eastAsia="zh-CN" w:bidi="ar"/>
              </w:rPr>
            </w:pPr>
            <w:r>
              <w:rPr>
                <w:rFonts w:hint="eastAsia" w:ascii="宋体" w:hAnsi="宋体" w:cs="宋体"/>
                <w:b/>
                <w:color w:val="000000"/>
                <w:kern w:val="0"/>
                <w:szCs w:val="21"/>
              </w:rPr>
              <w:t>项    目</w:t>
            </w:r>
          </w:p>
        </w:tc>
        <w:tc>
          <w:tcPr>
            <w:tcW w:w="5436" w:type="dxa"/>
            <w:gridSpan w:val="3"/>
            <w:noWrap w:val="0"/>
            <w:vAlign w:val="top"/>
          </w:tcPr>
          <w:p>
            <w:pPr>
              <w:widowControl w:val="0"/>
              <w:jc w:val="center"/>
              <w:rPr>
                <w:rFonts w:hint="default" w:ascii="黑体" w:hAnsi="宋体" w:eastAsia="黑体"/>
                <w:color w:val="000000"/>
                <w:kern w:val="0"/>
                <w:sz w:val="44"/>
                <w:szCs w:val="44"/>
                <w:vertAlign w:val="baseline"/>
                <w:lang w:val="en-US" w:eastAsia="zh-CN" w:bidi="ar"/>
              </w:rPr>
            </w:pPr>
            <w:r>
              <w:rPr>
                <w:rFonts w:hint="eastAsia" w:ascii="宋体" w:hAnsi="宋体" w:cs="宋体"/>
                <w:b/>
                <w:color w:val="000000"/>
                <w:kern w:val="0"/>
                <w:szCs w:val="21"/>
              </w:rPr>
              <w:t>本年支出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noWrap w:val="0"/>
            <w:vAlign w:val="top"/>
          </w:tcPr>
          <w:p>
            <w:pPr>
              <w:widowControl w:val="0"/>
              <w:jc w:val="center"/>
              <w:rPr>
                <w:rFonts w:hint="eastAsia" w:ascii="宋体" w:hAnsi="宋体" w:cs="宋体"/>
                <w:b/>
                <w:color w:val="000000"/>
                <w:kern w:val="0"/>
                <w:szCs w:val="21"/>
              </w:rPr>
            </w:pPr>
            <w:r>
              <w:rPr>
                <w:rFonts w:hint="eastAsia" w:ascii="宋体" w:hAnsi="宋体" w:cs="宋体"/>
                <w:b/>
                <w:color w:val="000000"/>
                <w:kern w:val="0"/>
                <w:szCs w:val="21"/>
              </w:rPr>
              <w:t>功能分类</w:t>
            </w:r>
          </w:p>
          <w:p>
            <w:pPr>
              <w:widowControl w:val="0"/>
              <w:jc w:val="center"/>
              <w:rPr>
                <w:rFonts w:hint="eastAsia" w:ascii="黑体" w:hAnsi="宋体" w:eastAsia="黑体"/>
                <w:color w:val="000000"/>
                <w:kern w:val="0"/>
                <w:sz w:val="44"/>
                <w:szCs w:val="44"/>
                <w:vertAlign w:val="baseline"/>
                <w:lang w:bidi="ar"/>
              </w:rPr>
            </w:pPr>
            <w:r>
              <w:rPr>
                <w:rFonts w:hint="eastAsia" w:ascii="宋体" w:hAnsi="宋体" w:cs="宋体"/>
                <w:b/>
                <w:color w:val="000000"/>
                <w:kern w:val="0"/>
                <w:szCs w:val="21"/>
              </w:rPr>
              <w:t>科目编码</w:t>
            </w:r>
          </w:p>
        </w:tc>
        <w:tc>
          <w:tcPr>
            <w:tcW w:w="1812" w:type="dxa"/>
            <w:noWrap w:val="0"/>
            <w:vAlign w:val="top"/>
          </w:tcPr>
          <w:p>
            <w:pPr>
              <w:widowControl w:val="0"/>
              <w:jc w:val="center"/>
              <w:rPr>
                <w:rFonts w:hint="eastAsia" w:ascii="黑体" w:hAnsi="宋体" w:eastAsia="黑体"/>
                <w:color w:val="000000"/>
                <w:kern w:val="0"/>
                <w:sz w:val="44"/>
                <w:szCs w:val="44"/>
                <w:vertAlign w:val="baseline"/>
                <w:lang w:bidi="ar"/>
              </w:rPr>
            </w:pPr>
            <w:r>
              <w:rPr>
                <w:rFonts w:hint="eastAsia" w:ascii="宋体" w:hAnsi="宋体" w:cs="宋体"/>
                <w:b/>
                <w:color w:val="000000"/>
                <w:kern w:val="0"/>
                <w:szCs w:val="21"/>
              </w:rPr>
              <w:t>科目名称</w:t>
            </w:r>
          </w:p>
        </w:tc>
        <w:tc>
          <w:tcPr>
            <w:tcW w:w="1812" w:type="dxa"/>
            <w:noWrap w:val="0"/>
            <w:vAlign w:val="center"/>
          </w:tcPr>
          <w:p>
            <w:pPr>
              <w:widowControl/>
              <w:jc w:val="center"/>
              <w:textAlignment w:val="center"/>
              <w:rPr>
                <w:rFonts w:hint="eastAsia" w:ascii="宋体" w:hAnsi="宋体" w:cs="宋体"/>
                <w:b/>
                <w:color w:val="000000"/>
                <w:kern w:val="2"/>
                <w:sz w:val="21"/>
                <w:szCs w:val="21"/>
                <w:lang w:val="en-US" w:eastAsia="zh-CN" w:bidi="ar-SA"/>
              </w:rPr>
            </w:pPr>
            <w:r>
              <w:rPr>
                <w:rFonts w:hint="eastAsia" w:ascii="宋体" w:hAnsi="宋体" w:cs="宋体"/>
                <w:b/>
                <w:color w:val="000000"/>
                <w:kern w:val="0"/>
                <w:szCs w:val="21"/>
              </w:rPr>
              <w:t>小计</w:t>
            </w:r>
          </w:p>
        </w:tc>
        <w:tc>
          <w:tcPr>
            <w:tcW w:w="1812" w:type="dxa"/>
            <w:noWrap w:val="0"/>
            <w:vAlign w:val="center"/>
          </w:tcPr>
          <w:p>
            <w:pPr>
              <w:widowControl/>
              <w:jc w:val="center"/>
              <w:textAlignment w:val="center"/>
              <w:rPr>
                <w:rFonts w:hint="eastAsia" w:ascii="宋体" w:hAnsi="宋体" w:cs="宋体"/>
                <w:b/>
                <w:color w:val="000000"/>
                <w:kern w:val="2"/>
                <w:sz w:val="21"/>
                <w:szCs w:val="21"/>
                <w:lang w:val="en-US" w:eastAsia="zh-CN" w:bidi="ar-SA"/>
              </w:rPr>
            </w:pPr>
            <w:r>
              <w:rPr>
                <w:rFonts w:hint="eastAsia" w:ascii="宋体" w:hAnsi="宋体" w:cs="宋体"/>
                <w:b/>
                <w:color w:val="000000"/>
                <w:kern w:val="0"/>
                <w:szCs w:val="21"/>
              </w:rPr>
              <w:t>基本支出</w:t>
            </w:r>
          </w:p>
        </w:tc>
        <w:tc>
          <w:tcPr>
            <w:tcW w:w="1812" w:type="dxa"/>
            <w:noWrap w:val="0"/>
            <w:vAlign w:val="center"/>
          </w:tcPr>
          <w:p>
            <w:pPr>
              <w:widowControl/>
              <w:jc w:val="center"/>
              <w:textAlignment w:val="center"/>
              <w:rPr>
                <w:rFonts w:hint="eastAsia" w:ascii="宋体" w:hAnsi="宋体" w:cs="宋体"/>
                <w:b/>
                <w:color w:val="000000"/>
                <w:kern w:val="2"/>
                <w:sz w:val="21"/>
                <w:szCs w:val="21"/>
                <w:lang w:val="en-US" w:eastAsia="zh-CN" w:bidi="ar-SA"/>
              </w:rPr>
            </w:pPr>
            <w:r>
              <w:rPr>
                <w:rFonts w:hint="eastAsia" w:ascii="宋体" w:hAnsi="宋体" w:cs="宋体"/>
                <w:b/>
                <w:color w:val="000000"/>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3624" w:type="dxa"/>
            <w:gridSpan w:val="2"/>
            <w:noWrap w:val="0"/>
            <w:vAlign w:val="top"/>
          </w:tcPr>
          <w:p>
            <w:pPr>
              <w:widowControl w:val="0"/>
              <w:jc w:val="center"/>
              <w:rPr>
                <w:rFonts w:hint="eastAsia" w:ascii="宋体" w:hAnsi="宋体" w:cs="宋体"/>
                <w:b/>
                <w:color w:val="000000"/>
                <w:kern w:val="0"/>
                <w:szCs w:val="21"/>
              </w:rPr>
            </w:pPr>
          </w:p>
          <w:p>
            <w:pPr>
              <w:widowControl w:val="0"/>
              <w:jc w:val="center"/>
              <w:rPr>
                <w:rFonts w:hint="eastAsia" w:ascii="黑体" w:hAnsi="宋体" w:eastAsia="黑体"/>
                <w:color w:val="000000"/>
                <w:kern w:val="0"/>
                <w:sz w:val="44"/>
                <w:szCs w:val="44"/>
                <w:vertAlign w:val="baseline"/>
                <w:lang w:val="en-US" w:eastAsia="zh-CN" w:bidi="ar"/>
              </w:rPr>
            </w:pPr>
            <w:r>
              <w:rPr>
                <w:rFonts w:hint="eastAsia" w:ascii="宋体" w:hAnsi="宋体" w:cs="宋体"/>
                <w:b/>
                <w:color w:val="000000"/>
                <w:kern w:val="0"/>
                <w:szCs w:val="21"/>
              </w:rPr>
              <w:t>合计</w:t>
            </w:r>
          </w:p>
        </w:tc>
        <w:tc>
          <w:tcPr>
            <w:tcW w:w="1812" w:type="dxa"/>
            <w:noWrap w:val="0"/>
            <w:vAlign w:val="top"/>
          </w:tcPr>
          <w:p>
            <w:pPr>
              <w:widowControl w:val="0"/>
              <w:jc w:val="center"/>
              <w:rPr>
                <w:rFonts w:hint="eastAsia" w:ascii="黑体" w:hAnsi="宋体" w:eastAsia="黑体"/>
                <w:color w:val="000000"/>
                <w:kern w:val="0"/>
                <w:sz w:val="44"/>
                <w:szCs w:val="44"/>
                <w:vertAlign w:val="baseline"/>
                <w:lang w:bidi="ar"/>
              </w:rPr>
            </w:pPr>
          </w:p>
        </w:tc>
        <w:tc>
          <w:tcPr>
            <w:tcW w:w="1812" w:type="dxa"/>
            <w:noWrap w:val="0"/>
            <w:vAlign w:val="top"/>
          </w:tcPr>
          <w:p>
            <w:pPr>
              <w:widowControl w:val="0"/>
              <w:jc w:val="center"/>
              <w:rPr>
                <w:rFonts w:hint="eastAsia" w:ascii="黑体" w:hAnsi="宋体" w:eastAsia="黑体"/>
                <w:color w:val="000000"/>
                <w:kern w:val="0"/>
                <w:sz w:val="44"/>
                <w:szCs w:val="44"/>
                <w:vertAlign w:val="baseline"/>
                <w:lang w:bidi="ar"/>
              </w:rPr>
            </w:pPr>
          </w:p>
        </w:tc>
        <w:tc>
          <w:tcPr>
            <w:tcW w:w="1812" w:type="dxa"/>
            <w:noWrap w:val="0"/>
            <w:vAlign w:val="top"/>
          </w:tcPr>
          <w:p>
            <w:pPr>
              <w:widowControl w:val="0"/>
              <w:jc w:val="center"/>
              <w:rPr>
                <w:rFonts w:hint="eastAsia" w:ascii="黑体" w:hAnsi="宋体" w:eastAsia="黑体"/>
                <w:color w:val="000000"/>
                <w:kern w:val="0"/>
                <w:sz w:val="44"/>
                <w:szCs w:val="44"/>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noWrap w:val="0"/>
            <w:vAlign w:val="top"/>
          </w:tcPr>
          <w:p>
            <w:pPr>
              <w:widowControl w:val="0"/>
              <w:jc w:val="center"/>
              <w:rPr>
                <w:rFonts w:hint="eastAsia" w:ascii="黑体" w:hAnsi="宋体" w:eastAsia="黑体"/>
                <w:color w:val="000000"/>
                <w:kern w:val="0"/>
                <w:sz w:val="44"/>
                <w:szCs w:val="44"/>
                <w:vertAlign w:val="baseline"/>
                <w:lang w:bidi="ar"/>
              </w:rPr>
            </w:pPr>
          </w:p>
        </w:tc>
        <w:tc>
          <w:tcPr>
            <w:tcW w:w="1812" w:type="dxa"/>
            <w:noWrap w:val="0"/>
            <w:vAlign w:val="top"/>
          </w:tcPr>
          <w:p>
            <w:pPr>
              <w:widowControl w:val="0"/>
              <w:jc w:val="center"/>
              <w:rPr>
                <w:rFonts w:hint="eastAsia" w:ascii="黑体" w:hAnsi="宋体" w:eastAsia="黑体"/>
                <w:color w:val="000000"/>
                <w:kern w:val="0"/>
                <w:sz w:val="44"/>
                <w:szCs w:val="44"/>
                <w:vertAlign w:val="baseline"/>
                <w:lang w:bidi="ar"/>
              </w:rPr>
            </w:pPr>
          </w:p>
        </w:tc>
        <w:tc>
          <w:tcPr>
            <w:tcW w:w="1812" w:type="dxa"/>
            <w:noWrap w:val="0"/>
            <w:vAlign w:val="top"/>
          </w:tcPr>
          <w:p>
            <w:pPr>
              <w:widowControl w:val="0"/>
              <w:jc w:val="center"/>
              <w:rPr>
                <w:rFonts w:hint="eastAsia" w:ascii="黑体" w:hAnsi="宋体" w:eastAsia="黑体"/>
                <w:color w:val="000000"/>
                <w:kern w:val="0"/>
                <w:sz w:val="44"/>
                <w:szCs w:val="44"/>
                <w:vertAlign w:val="baseline"/>
                <w:lang w:bidi="ar"/>
              </w:rPr>
            </w:pPr>
          </w:p>
        </w:tc>
        <w:tc>
          <w:tcPr>
            <w:tcW w:w="1812" w:type="dxa"/>
            <w:noWrap w:val="0"/>
            <w:vAlign w:val="top"/>
          </w:tcPr>
          <w:p>
            <w:pPr>
              <w:widowControl w:val="0"/>
              <w:jc w:val="center"/>
              <w:rPr>
                <w:rFonts w:hint="eastAsia" w:ascii="黑体" w:hAnsi="宋体" w:eastAsia="黑体"/>
                <w:color w:val="000000"/>
                <w:kern w:val="0"/>
                <w:sz w:val="44"/>
                <w:szCs w:val="44"/>
                <w:vertAlign w:val="baseline"/>
                <w:lang w:bidi="ar"/>
              </w:rPr>
            </w:pPr>
          </w:p>
        </w:tc>
        <w:tc>
          <w:tcPr>
            <w:tcW w:w="1812" w:type="dxa"/>
            <w:noWrap w:val="0"/>
            <w:vAlign w:val="top"/>
          </w:tcPr>
          <w:p>
            <w:pPr>
              <w:widowControl w:val="0"/>
              <w:jc w:val="center"/>
              <w:rPr>
                <w:rFonts w:hint="eastAsia" w:ascii="黑体" w:hAnsi="宋体" w:eastAsia="黑体"/>
                <w:color w:val="000000"/>
                <w:kern w:val="0"/>
                <w:sz w:val="44"/>
                <w:szCs w:val="44"/>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noWrap w:val="0"/>
            <w:vAlign w:val="top"/>
          </w:tcPr>
          <w:p>
            <w:pPr>
              <w:widowControl w:val="0"/>
              <w:jc w:val="center"/>
              <w:rPr>
                <w:rFonts w:hint="eastAsia" w:ascii="黑体" w:hAnsi="宋体" w:eastAsia="黑体"/>
                <w:color w:val="000000"/>
                <w:kern w:val="0"/>
                <w:sz w:val="44"/>
                <w:szCs w:val="44"/>
                <w:vertAlign w:val="baseline"/>
                <w:lang w:bidi="ar"/>
              </w:rPr>
            </w:pPr>
          </w:p>
        </w:tc>
        <w:tc>
          <w:tcPr>
            <w:tcW w:w="1812" w:type="dxa"/>
            <w:noWrap w:val="0"/>
            <w:vAlign w:val="top"/>
          </w:tcPr>
          <w:p>
            <w:pPr>
              <w:widowControl w:val="0"/>
              <w:jc w:val="center"/>
              <w:rPr>
                <w:rFonts w:hint="eastAsia" w:ascii="黑体" w:hAnsi="宋体" w:eastAsia="黑体"/>
                <w:color w:val="000000"/>
                <w:kern w:val="0"/>
                <w:sz w:val="44"/>
                <w:szCs w:val="44"/>
                <w:vertAlign w:val="baseline"/>
                <w:lang w:bidi="ar"/>
              </w:rPr>
            </w:pPr>
          </w:p>
        </w:tc>
        <w:tc>
          <w:tcPr>
            <w:tcW w:w="1812" w:type="dxa"/>
            <w:noWrap w:val="0"/>
            <w:vAlign w:val="top"/>
          </w:tcPr>
          <w:p>
            <w:pPr>
              <w:widowControl w:val="0"/>
              <w:jc w:val="center"/>
              <w:rPr>
                <w:rFonts w:hint="eastAsia" w:ascii="黑体" w:hAnsi="宋体" w:eastAsia="黑体"/>
                <w:color w:val="000000"/>
                <w:kern w:val="0"/>
                <w:sz w:val="44"/>
                <w:szCs w:val="44"/>
                <w:vertAlign w:val="baseline"/>
                <w:lang w:bidi="ar"/>
              </w:rPr>
            </w:pPr>
          </w:p>
        </w:tc>
        <w:tc>
          <w:tcPr>
            <w:tcW w:w="1812" w:type="dxa"/>
            <w:noWrap w:val="0"/>
            <w:vAlign w:val="top"/>
          </w:tcPr>
          <w:p>
            <w:pPr>
              <w:widowControl w:val="0"/>
              <w:jc w:val="center"/>
              <w:rPr>
                <w:rFonts w:hint="eastAsia" w:ascii="黑体" w:hAnsi="宋体" w:eastAsia="黑体"/>
                <w:color w:val="000000"/>
                <w:kern w:val="0"/>
                <w:sz w:val="44"/>
                <w:szCs w:val="44"/>
                <w:vertAlign w:val="baseline"/>
                <w:lang w:bidi="ar"/>
              </w:rPr>
            </w:pPr>
          </w:p>
        </w:tc>
        <w:tc>
          <w:tcPr>
            <w:tcW w:w="1812" w:type="dxa"/>
            <w:noWrap w:val="0"/>
            <w:vAlign w:val="top"/>
          </w:tcPr>
          <w:p>
            <w:pPr>
              <w:widowControl w:val="0"/>
              <w:jc w:val="center"/>
              <w:rPr>
                <w:rFonts w:hint="eastAsia" w:ascii="黑体" w:hAnsi="宋体" w:eastAsia="黑体"/>
                <w:color w:val="000000"/>
                <w:kern w:val="0"/>
                <w:sz w:val="44"/>
                <w:szCs w:val="44"/>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noWrap w:val="0"/>
            <w:vAlign w:val="top"/>
          </w:tcPr>
          <w:p>
            <w:pPr>
              <w:widowControl w:val="0"/>
              <w:jc w:val="center"/>
              <w:rPr>
                <w:rFonts w:hint="eastAsia" w:ascii="黑体" w:hAnsi="宋体" w:eastAsia="黑体"/>
                <w:color w:val="000000"/>
                <w:kern w:val="0"/>
                <w:sz w:val="44"/>
                <w:szCs w:val="44"/>
                <w:vertAlign w:val="baseline"/>
                <w:lang w:bidi="ar"/>
              </w:rPr>
            </w:pPr>
          </w:p>
        </w:tc>
        <w:tc>
          <w:tcPr>
            <w:tcW w:w="1812" w:type="dxa"/>
            <w:noWrap w:val="0"/>
            <w:vAlign w:val="top"/>
          </w:tcPr>
          <w:p>
            <w:pPr>
              <w:widowControl w:val="0"/>
              <w:jc w:val="center"/>
              <w:rPr>
                <w:rFonts w:hint="eastAsia" w:ascii="黑体" w:hAnsi="宋体" w:eastAsia="黑体"/>
                <w:color w:val="000000"/>
                <w:kern w:val="0"/>
                <w:sz w:val="44"/>
                <w:szCs w:val="44"/>
                <w:vertAlign w:val="baseline"/>
                <w:lang w:bidi="ar"/>
              </w:rPr>
            </w:pPr>
          </w:p>
        </w:tc>
        <w:tc>
          <w:tcPr>
            <w:tcW w:w="1812" w:type="dxa"/>
            <w:noWrap w:val="0"/>
            <w:vAlign w:val="top"/>
          </w:tcPr>
          <w:p>
            <w:pPr>
              <w:widowControl w:val="0"/>
              <w:jc w:val="center"/>
              <w:rPr>
                <w:rFonts w:hint="eastAsia" w:ascii="黑体" w:hAnsi="宋体" w:eastAsia="黑体"/>
                <w:color w:val="000000"/>
                <w:kern w:val="0"/>
                <w:sz w:val="44"/>
                <w:szCs w:val="44"/>
                <w:vertAlign w:val="baseline"/>
                <w:lang w:bidi="ar"/>
              </w:rPr>
            </w:pPr>
          </w:p>
        </w:tc>
        <w:tc>
          <w:tcPr>
            <w:tcW w:w="1812" w:type="dxa"/>
            <w:noWrap w:val="0"/>
            <w:vAlign w:val="top"/>
          </w:tcPr>
          <w:p>
            <w:pPr>
              <w:widowControl w:val="0"/>
              <w:jc w:val="center"/>
              <w:rPr>
                <w:rFonts w:hint="eastAsia" w:ascii="黑体" w:hAnsi="宋体" w:eastAsia="黑体"/>
                <w:color w:val="000000"/>
                <w:kern w:val="0"/>
                <w:sz w:val="44"/>
                <w:szCs w:val="44"/>
                <w:vertAlign w:val="baseline"/>
                <w:lang w:bidi="ar"/>
              </w:rPr>
            </w:pPr>
          </w:p>
        </w:tc>
        <w:tc>
          <w:tcPr>
            <w:tcW w:w="1812" w:type="dxa"/>
            <w:noWrap w:val="0"/>
            <w:vAlign w:val="top"/>
          </w:tcPr>
          <w:p>
            <w:pPr>
              <w:widowControl w:val="0"/>
              <w:jc w:val="center"/>
              <w:rPr>
                <w:rFonts w:hint="eastAsia" w:ascii="黑体" w:hAnsi="宋体" w:eastAsia="黑体"/>
                <w:color w:val="000000"/>
                <w:kern w:val="0"/>
                <w:sz w:val="44"/>
                <w:szCs w:val="44"/>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noWrap w:val="0"/>
            <w:vAlign w:val="top"/>
          </w:tcPr>
          <w:p>
            <w:pPr>
              <w:widowControl w:val="0"/>
              <w:jc w:val="center"/>
              <w:rPr>
                <w:rFonts w:hint="eastAsia" w:ascii="黑体" w:hAnsi="宋体" w:eastAsia="黑体"/>
                <w:color w:val="000000"/>
                <w:kern w:val="0"/>
                <w:sz w:val="44"/>
                <w:szCs w:val="44"/>
                <w:vertAlign w:val="baseline"/>
                <w:lang w:bidi="ar"/>
              </w:rPr>
            </w:pPr>
          </w:p>
        </w:tc>
        <w:tc>
          <w:tcPr>
            <w:tcW w:w="1812" w:type="dxa"/>
            <w:noWrap w:val="0"/>
            <w:vAlign w:val="top"/>
          </w:tcPr>
          <w:p>
            <w:pPr>
              <w:widowControl w:val="0"/>
              <w:jc w:val="center"/>
              <w:rPr>
                <w:rFonts w:hint="eastAsia" w:ascii="黑体" w:hAnsi="宋体" w:eastAsia="黑体"/>
                <w:color w:val="000000"/>
                <w:kern w:val="0"/>
                <w:sz w:val="44"/>
                <w:szCs w:val="44"/>
                <w:vertAlign w:val="baseline"/>
                <w:lang w:bidi="ar"/>
              </w:rPr>
            </w:pPr>
          </w:p>
        </w:tc>
        <w:tc>
          <w:tcPr>
            <w:tcW w:w="1812" w:type="dxa"/>
            <w:noWrap w:val="0"/>
            <w:vAlign w:val="top"/>
          </w:tcPr>
          <w:p>
            <w:pPr>
              <w:widowControl w:val="0"/>
              <w:jc w:val="center"/>
              <w:rPr>
                <w:rFonts w:hint="eastAsia" w:ascii="黑体" w:hAnsi="宋体" w:eastAsia="黑体"/>
                <w:color w:val="000000"/>
                <w:kern w:val="0"/>
                <w:sz w:val="44"/>
                <w:szCs w:val="44"/>
                <w:vertAlign w:val="baseline"/>
                <w:lang w:bidi="ar"/>
              </w:rPr>
            </w:pPr>
          </w:p>
        </w:tc>
        <w:tc>
          <w:tcPr>
            <w:tcW w:w="1812" w:type="dxa"/>
            <w:noWrap w:val="0"/>
            <w:vAlign w:val="top"/>
          </w:tcPr>
          <w:p>
            <w:pPr>
              <w:widowControl w:val="0"/>
              <w:jc w:val="center"/>
              <w:rPr>
                <w:rFonts w:hint="eastAsia" w:ascii="黑体" w:hAnsi="宋体" w:eastAsia="黑体"/>
                <w:color w:val="000000"/>
                <w:kern w:val="0"/>
                <w:sz w:val="44"/>
                <w:szCs w:val="44"/>
                <w:vertAlign w:val="baseline"/>
                <w:lang w:bidi="ar"/>
              </w:rPr>
            </w:pPr>
          </w:p>
        </w:tc>
        <w:tc>
          <w:tcPr>
            <w:tcW w:w="1812" w:type="dxa"/>
            <w:noWrap w:val="0"/>
            <w:vAlign w:val="top"/>
          </w:tcPr>
          <w:p>
            <w:pPr>
              <w:widowControl w:val="0"/>
              <w:jc w:val="center"/>
              <w:rPr>
                <w:rFonts w:hint="eastAsia" w:ascii="黑体" w:hAnsi="宋体" w:eastAsia="黑体"/>
                <w:color w:val="000000"/>
                <w:kern w:val="0"/>
                <w:sz w:val="44"/>
                <w:szCs w:val="44"/>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noWrap w:val="0"/>
            <w:vAlign w:val="top"/>
          </w:tcPr>
          <w:p>
            <w:pPr>
              <w:widowControl w:val="0"/>
              <w:jc w:val="center"/>
              <w:rPr>
                <w:rFonts w:hint="eastAsia" w:ascii="黑体" w:hAnsi="宋体" w:eastAsia="黑体"/>
                <w:color w:val="000000"/>
                <w:kern w:val="0"/>
                <w:sz w:val="44"/>
                <w:szCs w:val="44"/>
                <w:vertAlign w:val="baseline"/>
                <w:lang w:bidi="ar"/>
              </w:rPr>
            </w:pPr>
          </w:p>
        </w:tc>
        <w:tc>
          <w:tcPr>
            <w:tcW w:w="1812" w:type="dxa"/>
            <w:noWrap w:val="0"/>
            <w:vAlign w:val="top"/>
          </w:tcPr>
          <w:p>
            <w:pPr>
              <w:widowControl w:val="0"/>
              <w:jc w:val="center"/>
              <w:rPr>
                <w:rFonts w:hint="eastAsia" w:ascii="黑体" w:hAnsi="宋体" w:eastAsia="黑体"/>
                <w:color w:val="000000"/>
                <w:kern w:val="0"/>
                <w:sz w:val="44"/>
                <w:szCs w:val="44"/>
                <w:vertAlign w:val="baseline"/>
                <w:lang w:bidi="ar"/>
              </w:rPr>
            </w:pPr>
          </w:p>
        </w:tc>
        <w:tc>
          <w:tcPr>
            <w:tcW w:w="1812" w:type="dxa"/>
            <w:noWrap w:val="0"/>
            <w:vAlign w:val="top"/>
          </w:tcPr>
          <w:p>
            <w:pPr>
              <w:widowControl w:val="0"/>
              <w:jc w:val="center"/>
              <w:rPr>
                <w:rFonts w:hint="eastAsia" w:ascii="黑体" w:hAnsi="宋体" w:eastAsia="黑体"/>
                <w:color w:val="000000"/>
                <w:kern w:val="0"/>
                <w:sz w:val="44"/>
                <w:szCs w:val="44"/>
                <w:vertAlign w:val="baseline"/>
                <w:lang w:bidi="ar"/>
              </w:rPr>
            </w:pPr>
          </w:p>
        </w:tc>
        <w:tc>
          <w:tcPr>
            <w:tcW w:w="1812" w:type="dxa"/>
            <w:noWrap w:val="0"/>
            <w:vAlign w:val="top"/>
          </w:tcPr>
          <w:p>
            <w:pPr>
              <w:widowControl w:val="0"/>
              <w:jc w:val="center"/>
              <w:rPr>
                <w:rFonts w:hint="eastAsia" w:ascii="黑体" w:hAnsi="宋体" w:eastAsia="黑体"/>
                <w:color w:val="000000"/>
                <w:kern w:val="0"/>
                <w:sz w:val="44"/>
                <w:szCs w:val="44"/>
                <w:vertAlign w:val="baseline"/>
                <w:lang w:bidi="ar"/>
              </w:rPr>
            </w:pPr>
          </w:p>
        </w:tc>
        <w:tc>
          <w:tcPr>
            <w:tcW w:w="1812" w:type="dxa"/>
            <w:noWrap w:val="0"/>
            <w:vAlign w:val="top"/>
          </w:tcPr>
          <w:p>
            <w:pPr>
              <w:widowControl w:val="0"/>
              <w:jc w:val="center"/>
              <w:rPr>
                <w:rFonts w:hint="eastAsia" w:ascii="黑体" w:hAnsi="宋体" w:eastAsia="黑体"/>
                <w:color w:val="000000"/>
                <w:kern w:val="0"/>
                <w:sz w:val="44"/>
                <w:szCs w:val="44"/>
                <w:vertAlign w:val="baseline"/>
                <w:lang w:bidi="ar"/>
              </w:rPr>
            </w:pPr>
          </w:p>
        </w:tc>
      </w:tr>
    </w:tbl>
    <w:p>
      <w:pPr>
        <w:keepNext w:val="0"/>
        <w:keepLines w:val="0"/>
        <w:widowControl/>
        <w:suppressLineNumbers w:val="0"/>
        <w:jc w:val="left"/>
        <w:rPr>
          <w:rFonts w:hint="eastAsia" w:ascii="黑体" w:hAnsi="宋体" w:eastAsia="黑体"/>
          <w:color w:val="000000"/>
          <w:kern w:val="0"/>
          <w:sz w:val="44"/>
          <w:szCs w:val="44"/>
          <w:lang w:bidi="ar"/>
        </w:rPr>
      </w:pPr>
      <w:r>
        <w:rPr>
          <w:rFonts w:hint="eastAsia" w:ascii="宋体" w:hAnsi="宋体" w:cs="宋体"/>
          <w:szCs w:val="21"/>
        </w:rPr>
        <w:t>注：本表反映部门本年度</w:t>
      </w:r>
      <w:r>
        <w:rPr>
          <w:rFonts w:hint="eastAsia" w:ascii="宋体" w:hAnsi="宋体" w:cs="宋体"/>
          <w:szCs w:val="21"/>
          <w:lang w:val="en-US" w:eastAsia="zh-CN"/>
        </w:rPr>
        <w:t>国有资本经营预算财政拨款支出情况</w:t>
      </w:r>
      <w:r>
        <w:rPr>
          <w:rFonts w:hint="eastAsia" w:ascii="宋体" w:hAnsi="宋体" w:cs="宋体"/>
          <w:szCs w:val="21"/>
        </w:rPr>
        <w:t>。</w:t>
      </w:r>
      <w:r>
        <w:rPr>
          <w:rFonts w:hint="eastAsia" w:ascii="宋体" w:hAnsi="宋体" w:cs="宋体"/>
          <w:color w:val="000000"/>
          <w:kern w:val="0"/>
          <w:szCs w:val="21"/>
          <w:lang w:val="en-US" w:eastAsia="zh-CN"/>
        </w:rPr>
        <w:t>本表金额转换为万元时，因四舍五入可能存在尾差。</w:t>
      </w: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jc w:val="center"/>
        <w:rPr>
          <w:rFonts w:hint="eastAsia" w:ascii="黑体" w:hAnsi="宋体" w:eastAsia="黑体"/>
          <w:color w:val="000000"/>
          <w:kern w:val="0"/>
          <w:sz w:val="44"/>
          <w:szCs w:val="44"/>
          <w:lang w:eastAsia="zh-CN" w:bidi="ar"/>
        </w:rPr>
      </w:pPr>
      <w:r>
        <w:rPr>
          <w:rFonts w:hint="eastAsia" w:ascii="黑体" w:hAnsi="宋体" w:eastAsia="黑体"/>
          <w:color w:val="000000"/>
          <w:kern w:val="0"/>
          <w:sz w:val="44"/>
          <w:szCs w:val="44"/>
          <w:lang w:bidi="ar"/>
        </w:rPr>
        <w:t xml:space="preserve">第三部分 </w:t>
      </w:r>
      <w:r>
        <w:rPr>
          <w:rFonts w:hint="eastAsia" w:ascii="黑体" w:hAnsi="宋体" w:eastAsia="黑体"/>
          <w:color w:val="000000"/>
          <w:kern w:val="0"/>
          <w:sz w:val="44"/>
          <w:szCs w:val="44"/>
          <w:lang w:val="en-US" w:eastAsia="zh-CN" w:bidi="ar"/>
        </w:rPr>
        <w:t xml:space="preserve"> </w:t>
      </w:r>
      <w:r>
        <w:rPr>
          <w:rFonts w:hint="eastAsia" w:ascii="黑体" w:hAnsi="宋体" w:eastAsia="黑体"/>
          <w:color w:val="000000"/>
          <w:kern w:val="0"/>
          <w:sz w:val="44"/>
          <w:szCs w:val="44"/>
          <w:lang w:bidi="ar"/>
        </w:rPr>
        <w:t>2</w:t>
      </w:r>
      <w:r>
        <w:rPr>
          <w:rFonts w:hint="eastAsia" w:ascii="黑体" w:hAnsi="宋体" w:eastAsia="黑体"/>
          <w:color w:val="000000"/>
          <w:kern w:val="0"/>
          <w:sz w:val="44"/>
          <w:szCs w:val="44"/>
          <w:lang w:val="en-US" w:eastAsia="zh-CN" w:bidi="ar"/>
        </w:rPr>
        <w:t>020</w:t>
      </w:r>
      <w:r>
        <w:rPr>
          <w:rFonts w:hint="eastAsia" w:ascii="黑体" w:hAnsi="宋体" w:eastAsia="黑体"/>
          <w:color w:val="000000"/>
          <w:kern w:val="0"/>
          <w:sz w:val="44"/>
          <w:szCs w:val="44"/>
          <w:lang w:bidi="ar"/>
        </w:rPr>
        <w:t>年部门决算情况</w:t>
      </w:r>
      <w:r>
        <w:rPr>
          <w:rFonts w:hint="eastAsia" w:ascii="黑体" w:hAnsi="宋体" w:eastAsia="黑体"/>
          <w:color w:val="000000"/>
          <w:kern w:val="0"/>
          <w:sz w:val="44"/>
          <w:szCs w:val="44"/>
          <w:lang w:eastAsia="zh-CN" w:bidi="ar"/>
        </w:rPr>
        <w:t>说明</w:t>
      </w:r>
    </w:p>
    <w:p>
      <w:pPr>
        <w:widowControl/>
        <w:rPr>
          <w:rFonts w:ascii="黑体" w:hAnsi="宋体" w:eastAsia="黑体"/>
          <w:color w:val="000000"/>
          <w:kern w:val="0"/>
          <w:sz w:val="44"/>
          <w:szCs w:val="44"/>
          <w:lang w:bidi="ar"/>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一、收入支出决算总体情况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keepNext w:val="0"/>
        <w:keepLines w:val="0"/>
        <w:pageBreakBefore w:val="0"/>
        <w:kinsoku/>
        <w:wordWrap/>
        <w:overflowPunct/>
        <w:topLinePunct w:val="0"/>
        <w:autoSpaceDE/>
        <w:autoSpaceDN/>
        <w:bidi w:val="0"/>
        <w:adjustRightInd/>
        <w:snapToGrid/>
        <w:spacing w:after="157" w:afterLines="50" w:line="240" w:lineRule="auto"/>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中共杨陵区委统战部20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年度总收入</w:t>
      </w:r>
      <w:r>
        <w:rPr>
          <w:rFonts w:hint="eastAsia" w:ascii="仿宋_GB2312" w:hAnsi="仿宋" w:eastAsia="仿宋_GB2312"/>
          <w:sz w:val="32"/>
          <w:szCs w:val="32"/>
          <w:lang w:val="en-US" w:eastAsia="zh-CN"/>
        </w:rPr>
        <w:t>134.92</w:t>
      </w:r>
      <w:r>
        <w:rPr>
          <w:rFonts w:hint="eastAsia" w:ascii="仿宋_GB2312" w:hAnsi="仿宋" w:eastAsia="仿宋_GB2312"/>
          <w:sz w:val="32"/>
          <w:szCs w:val="32"/>
        </w:rPr>
        <w:t>万元，较上年119.85万元增加</w:t>
      </w:r>
      <w:r>
        <w:rPr>
          <w:rFonts w:hint="eastAsia" w:ascii="仿宋_GB2312" w:hAnsi="仿宋" w:eastAsia="仿宋_GB2312"/>
          <w:sz w:val="32"/>
          <w:szCs w:val="32"/>
          <w:lang w:val="en-US" w:eastAsia="zh-CN"/>
        </w:rPr>
        <w:t>15.07</w:t>
      </w:r>
      <w:r>
        <w:rPr>
          <w:rFonts w:hint="eastAsia" w:ascii="仿宋_GB2312" w:hAnsi="仿宋" w:eastAsia="仿宋_GB2312"/>
          <w:sz w:val="32"/>
          <w:szCs w:val="32"/>
        </w:rPr>
        <w:t>万元，主要原因是人员工资福利增加；总支出</w:t>
      </w:r>
      <w:r>
        <w:rPr>
          <w:rFonts w:hint="eastAsia" w:ascii="仿宋_GB2312" w:hAnsi="仿宋" w:eastAsia="仿宋_GB2312"/>
          <w:sz w:val="32"/>
          <w:szCs w:val="32"/>
          <w:lang w:val="en-US" w:eastAsia="zh-CN"/>
        </w:rPr>
        <w:t>132.99</w:t>
      </w:r>
      <w:r>
        <w:rPr>
          <w:rFonts w:hint="eastAsia" w:ascii="仿宋_GB2312" w:hAnsi="仿宋" w:eastAsia="仿宋_GB2312"/>
          <w:sz w:val="32"/>
          <w:szCs w:val="32"/>
        </w:rPr>
        <w:t>万元，较上年118.58万元</w:t>
      </w:r>
      <w:r>
        <w:rPr>
          <w:rFonts w:hint="eastAsia" w:ascii="仿宋_GB2312" w:hAnsi="仿宋" w:eastAsia="仿宋_GB2312"/>
          <w:sz w:val="32"/>
          <w:szCs w:val="32"/>
          <w:lang w:val="en-US" w:eastAsia="zh-CN"/>
        </w:rPr>
        <w:t>增加14.41</w:t>
      </w:r>
      <w:r>
        <w:rPr>
          <w:rFonts w:hint="eastAsia" w:ascii="仿宋_GB2312" w:hAnsi="仿宋" w:eastAsia="仿宋_GB2312"/>
          <w:sz w:val="32"/>
          <w:szCs w:val="32"/>
        </w:rPr>
        <w:t>万元，主要原因是人员工资福利</w:t>
      </w:r>
      <w:r>
        <w:rPr>
          <w:rFonts w:hint="eastAsia" w:ascii="仿宋_GB2312" w:hAnsi="仿宋" w:eastAsia="仿宋_GB2312"/>
          <w:sz w:val="32"/>
          <w:szCs w:val="32"/>
          <w:lang w:val="en-US" w:eastAsia="zh-CN"/>
        </w:rPr>
        <w:t>支出</w:t>
      </w:r>
      <w:r>
        <w:rPr>
          <w:rFonts w:hint="eastAsia" w:ascii="仿宋_GB2312" w:hAnsi="仿宋" w:eastAsia="仿宋_GB2312"/>
          <w:sz w:val="32"/>
          <w:szCs w:val="32"/>
        </w:rPr>
        <w:t>增加。</w:t>
      </w:r>
    </w:p>
    <w:p>
      <w:pPr>
        <w:keepNext w:val="0"/>
        <w:keepLines w:val="0"/>
        <w:pageBreakBefore w:val="0"/>
        <w:kinsoku/>
        <w:wordWrap/>
        <w:overflowPunct/>
        <w:topLinePunct w:val="0"/>
        <w:autoSpaceDE/>
        <w:autoSpaceDN/>
        <w:bidi w:val="0"/>
        <w:adjustRightInd/>
        <w:snapToGrid/>
        <w:spacing w:after="157" w:afterLines="50" w:line="240" w:lineRule="auto"/>
        <w:ind w:firstLine="640" w:firstLineChars="200"/>
        <w:jc w:val="both"/>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object>
          <v:shape id="_x0000_i1026" o:spt="75" type="#_x0000_t75" style="height:222.75pt;width:372pt;" o:ole="t" filled="f" o:preferrelative="t" stroked="f" coordsize="21600,21600">
            <v:path/>
            <v:fill on="f" focussize="0,0"/>
            <v:stroke on="f"/>
            <v:imagedata r:id="rId14" o:title=""/>
            <o:lock v:ext="edit" aspectratio="t"/>
            <w10:wrap type="none"/>
            <w10:anchorlock/>
          </v:shape>
          <o:OLEObject Type="Embed" ProgID="Excel.Chart.8" ShapeID="_x0000_i1026" DrawAspect="Content" ObjectID="_1468075726" r:id="rId13">
            <o:LockedField>false</o:LockedField>
          </o:OLEObject>
        </w:objec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二、收入决算情况</w:t>
      </w:r>
      <w:r>
        <w:rPr>
          <w:rFonts w:hint="eastAsia" w:ascii="黑体" w:hAnsi="黑体" w:eastAsia="黑体"/>
          <w:color w:val="000000"/>
          <w:kern w:val="0"/>
          <w:sz w:val="32"/>
          <w:szCs w:val="32"/>
          <w:lang w:eastAsia="zh-CN" w:bidi="ar"/>
        </w:rPr>
        <w:t>说明</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2020</w:t>
      </w:r>
      <w:r>
        <w:rPr>
          <w:rFonts w:ascii="仿宋_GB2312" w:hAnsi="仿宋" w:eastAsia="仿宋_GB2312"/>
          <w:sz w:val="32"/>
          <w:szCs w:val="32"/>
        </w:rPr>
        <w:t>年收入合计</w:t>
      </w:r>
      <w:r>
        <w:rPr>
          <w:rFonts w:hint="eastAsia" w:ascii="仿宋_GB2312" w:hAnsi="仿宋" w:eastAsia="仿宋_GB2312"/>
          <w:sz w:val="32"/>
          <w:szCs w:val="32"/>
          <w:lang w:val="en-US" w:eastAsia="zh-CN"/>
        </w:rPr>
        <w:t>134.92</w:t>
      </w:r>
      <w:r>
        <w:rPr>
          <w:rFonts w:ascii="仿宋_GB2312" w:hAnsi="仿宋" w:eastAsia="仿宋_GB2312"/>
          <w:sz w:val="32"/>
          <w:szCs w:val="32"/>
        </w:rPr>
        <w:t>万元，其中：财政拨款收入</w:t>
      </w:r>
      <w:r>
        <w:rPr>
          <w:rFonts w:hint="eastAsia" w:ascii="仿宋_GB2312" w:hAnsi="仿宋" w:eastAsia="仿宋_GB2312"/>
          <w:sz w:val="32"/>
          <w:szCs w:val="32"/>
          <w:lang w:val="en-US" w:eastAsia="zh-CN"/>
        </w:rPr>
        <w:t>123.82</w:t>
      </w:r>
      <w:r>
        <w:rPr>
          <w:rFonts w:ascii="仿宋_GB2312" w:hAnsi="仿宋" w:eastAsia="仿宋_GB2312"/>
          <w:sz w:val="32"/>
          <w:szCs w:val="32"/>
        </w:rPr>
        <w:t>万元，占</w:t>
      </w:r>
      <w:r>
        <w:rPr>
          <w:rFonts w:hint="eastAsia" w:ascii="仿宋_GB2312" w:hAnsi="仿宋" w:eastAsia="仿宋_GB2312"/>
          <w:sz w:val="32"/>
          <w:szCs w:val="32"/>
          <w:lang w:val="en-US" w:eastAsia="zh-CN"/>
        </w:rPr>
        <w:t>91.77</w:t>
      </w:r>
      <w:r>
        <w:rPr>
          <w:rFonts w:ascii="仿宋_GB2312" w:hAnsi="仿宋" w:eastAsia="仿宋_GB2312"/>
          <w:sz w:val="32"/>
          <w:szCs w:val="32"/>
        </w:rPr>
        <w:t>%；事业收入0万元，占</w:t>
      </w:r>
      <w:r>
        <w:rPr>
          <w:rFonts w:hint="eastAsia" w:ascii="仿宋_GB2312" w:hAnsi="仿宋" w:eastAsia="仿宋_GB2312"/>
          <w:sz w:val="32"/>
          <w:szCs w:val="32"/>
        </w:rPr>
        <w:t>0</w:t>
      </w:r>
      <w:r>
        <w:rPr>
          <w:rFonts w:ascii="仿宋_GB2312" w:hAnsi="仿宋" w:eastAsia="仿宋_GB2312"/>
          <w:sz w:val="32"/>
          <w:szCs w:val="32"/>
        </w:rPr>
        <w:t>%；经营收入0万元，占0%；其他收入</w:t>
      </w:r>
      <w:r>
        <w:rPr>
          <w:rFonts w:hint="eastAsia" w:ascii="仿宋_GB2312" w:hAnsi="仿宋" w:eastAsia="仿宋_GB2312"/>
          <w:sz w:val="32"/>
          <w:szCs w:val="32"/>
          <w:lang w:val="en-US" w:eastAsia="zh-CN"/>
        </w:rPr>
        <w:t>11.1</w:t>
      </w:r>
      <w:r>
        <w:rPr>
          <w:rFonts w:ascii="仿宋_GB2312" w:hAnsi="仿宋" w:eastAsia="仿宋_GB2312"/>
          <w:sz w:val="32"/>
          <w:szCs w:val="32"/>
        </w:rPr>
        <w:t>万元，占</w:t>
      </w:r>
      <w:r>
        <w:rPr>
          <w:rFonts w:hint="eastAsia" w:ascii="仿宋_GB2312" w:hAnsi="仿宋" w:eastAsia="仿宋_GB2312"/>
          <w:sz w:val="32"/>
          <w:szCs w:val="32"/>
          <w:lang w:val="en-US" w:eastAsia="zh-CN"/>
        </w:rPr>
        <w:t>8.23</w:t>
      </w:r>
      <w:r>
        <w:rPr>
          <w:rFonts w:ascii="仿宋_GB2312" w:hAnsi="仿宋" w:eastAsia="仿宋_GB2312"/>
          <w:sz w:val="32"/>
          <w:szCs w:val="32"/>
        </w:rPr>
        <w:t>%</w:t>
      </w:r>
      <w:r>
        <w:rPr>
          <w:rFonts w:hint="eastAsia" w:ascii="仿宋_GB2312" w:hAnsi="仿宋"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sz w:val="32"/>
          <w:szCs w:val="32"/>
          <w:lang w:eastAsia="zh-CN"/>
        </w:rPr>
      </w:pPr>
    </w:p>
    <w:p>
      <w:pPr>
        <w:widowControl/>
        <w:jc w:val="center"/>
      </w:pPr>
    </w:p>
    <w:p>
      <w:pPr>
        <w:widowControl/>
        <w:ind w:firstLine="640" w:firstLineChars="200"/>
        <w:jc w:val="left"/>
        <w:rPr>
          <w:rFonts w:hint="eastAsia" w:ascii="黑体" w:hAnsi="黑体" w:eastAsia="黑体"/>
          <w:color w:val="000000"/>
          <w:kern w:val="0"/>
          <w:sz w:val="32"/>
          <w:szCs w:val="32"/>
          <w:lang w:eastAsia="zh-CN" w:bidi="ar"/>
        </w:rPr>
      </w:pPr>
      <w:r>
        <w:rPr>
          <w:rFonts w:hint="eastAsia" w:ascii="黑体" w:hAnsi="黑体" w:eastAsia="黑体"/>
          <w:color w:val="000000"/>
          <w:kern w:val="0"/>
          <w:sz w:val="32"/>
          <w:szCs w:val="32"/>
          <w:lang w:eastAsia="zh-CN" w:bidi="ar"/>
        </w:rPr>
        <w:drawing>
          <wp:inline distT="0" distB="0" distL="114300" distR="114300">
            <wp:extent cx="4685030" cy="2456815"/>
            <wp:effectExtent l="4445" t="4445" r="15875" b="1524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rPr>
          <w:rFonts w:ascii="黑体" w:hAnsi="黑体" w:eastAsia="黑体"/>
        </w:rPr>
      </w:pPr>
      <w:r>
        <w:rPr>
          <w:rFonts w:hint="eastAsia" w:ascii="黑体" w:hAnsi="黑体" w:eastAsia="黑体"/>
          <w:color w:val="000000"/>
          <w:kern w:val="0"/>
          <w:sz w:val="32"/>
          <w:szCs w:val="32"/>
          <w:lang w:bidi="ar"/>
        </w:rPr>
        <w:t>三、支出决算情况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center"/>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20</w:t>
      </w:r>
      <w:r>
        <w:rPr>
          <w:rFonts w:hint="eastAsia" w:ascii="仿宋_GB2312" w:hAnsi="宋体" w:eastAsia="仿宋_GB2312" w:cs="仿宋_GB2312"/>
          <w:color w:val="000000"/>
          <w:kern w:val="0"/>
          <w:sz w:val="32"/>
          <w:szCs w:val="32"/>
          <w:lang w:val="en-US" w:eastAsia="zh-CN" w:bidi="ar"/>
        </w:rPr>
        <w:t>20</w:t>
      </w:r>
      <w:r>
        <w:rPr>
          <w:rFonts w:ascii="仿宋_GB2312" w:hAnsi="宋体" w:eastAsia="仿宋_GB2312" w:cs="仿宋_GB2312"/>
          <w:color w:val="000000"/>
          <w:kern w:val="0"/>
          <w:sz w:val="32"/>
          <w:szCs w:val="32"/>
          <w:lang w:bidi="ar"/>
        </w:rPr>
        <w:t>年支出合计</w:t>
      </w:r>
      <w:r>
        <w:rPr>
          <w:rFonts w:hint="eastAsia" w:ascii="仿宋_GB2312" w:hAnsi="宋体" w:eastAsia="仿宋_GB2312" w:cs="仿宋_GB2312"/>
          <w:color w:val="000000"/>
          <w:kern w:val="0"/>
          <w:sz w:val="32"/>
          <w:szCs w:val="32"/>
          <w:lang w:val="en-US" w:eastAsia="zh-CN" w:bidi="ar"/>
        </w:rPr>
        <w:t>132.99</w:t>
      </w:r>
      <w:r>
        <w:rPr>
          <w:rFonts w:ascii="仿宋_GB2312" w:hAnsi="宋体" w:eastAsia="仿宋_GB2312" w:cs="仿宋_GB2312"/>
          <w:color w:val="000000"/>
          <w:kern w:val="0"/>
          <w:sz w:val="32"/>
          <w:szCs w:val="32"/>
          <w:lang w:bidi="ar"/>
        </w:rPr>
        <w:t>万元，其中：基本支出</w:t>
      </w:r>
      <w:r>
        <w:rPr>
          <w:rFonts w:hint="eastAsia" w:ascii="仿宋_GB2312" w:hAnsi="仿宋" w:eastAsia="仿宋_GB2312"/>
          <w:sz w:val="32"/>
          <w:szCs w:val="32"/>
          <w:lang w:val="en-US" w:eastAsia="zh-CN"/>
        </w:rPr>
        <w:t>117.22</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88.14</w:t>
      </w:r>
      <w:r>
        <w:rPr>
          <w:rFonts w:ascii="仿宋_GB2312" w:hAnsi="宋体" w:eastAsia="仿宋_GB2312" w:cs="仿宋_GB2312"/>
          <w:color w:val="000000"/>
          <w:kern w:val="0"/>
          <w:sz w:val="32"/>
          <w:szCs w:val="32"/>
          <w:lang w:bidi="ar"/>
        </w:rPr>
        <w:t>%；项目支出</w:t>
      </w:r>
      <w:r>
        <w:rPr>
          <w:rFonts w:hint="eastAsia" w:ascii="仿宋_GB2312" w:hAnsi="仿宋" w:eastAsia="仿宋_GB2312"/>
          <w:sz w:val="32"/>
          <w:szCs w:val="32"/>
          <w:lang w:val="en-US" w:eastAsia="zh-CN"/>
        </w:rPr>
        <w:t>15.77</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11.86</w:t>
      </w:r>
      <w:r>
        <w:rPr>
          <w:rFonts w:ascii="仿宋_GB2312" w:hAnsi="宋体" w:eastAsia="仿宋_GB2312" w:cs="仿宋_GB2312"/>
          <w:color w:val="000000"/>
          <w:kern w:val="0"/>
          <w:sz w:val="32"/>
          <w:szCs w:val="32"/>
          <w:lang w:bidi="ar"/>
        </w:rPr>
        <w:t>%；经营支出0万元，占0%。</w:t>
      </w:r>
    </w:p>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color w:val="000000"/>
          <w:kern w:val="0"/>
          <w:sz w:val="32"/>
          <w:szCs w:val="32"/>
          <w:lang w:eastAsia="zh-CN" w:bidi="ar"/>
        </w:rPr>
      </w:pPr>
      <w:r>
        <w:rPr>
          <w:rFonts w:hint="eastAsia" w:ascii="仿宋_GB2312" w:hAnsi="宋体" w:eastAsia="仿宋_GB2312" w:cs="仿宋_GB2312"/>
          <w:color w:val="000000"/>
          <w:kern w:val="0"/>
          <w:sz w:val="32"/>
          <w:szCs w:val="32"/>
          <w:lang w:eastAsia="zh-CN" w:bidi="ar"/>
        </w:rPr>
        <w:drawing>
          <wp:inline distT="0" distB="0" distL="114300" distR="114300">
            <wp:extent cx="4772660" cy="2563495"/>
            <wp:effectExtent l="4445" t="4445" r="23495" b="2286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四、财政拨款收入支出决算总体情况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rPr>
        <w:t>中共杨陵区委统战部</w:t>
      </w:r>
      <w:r>
        <w:rPr>
          <w:rFonts w:hint="eastAsia" w:ascii="仿宋_GB2312" w:hAnsi="仿宋" w:eastAsia="仿宋_GB2312"/>
          <w:sz w:val="32"/>
          <w:szCs w:val="32"/>
          <w:lang w:val="en-US" w:eastAsia="zh-CN"/>
        </w:rPr>
        <w:t>2020</w:t>
      </w:r>
      <w:r>
        <w:rPr>
          <w:rFonts w:hint="eastAsia" w:ascii="仿宋_GB2312" w:hAnsi="仿宋" w:eastAsia="仿宋_GB2312"/>
          <w:sz w:val="32"/>
          <w:szCs w:val="32"/>
        </w:rPr>
        <w:t>年度财政拨款收入</w:t>
      </w:r>
      <w:r>
        <w:rPr>
          <w:rFonts w:hint="eastAsia" w:ascii="仿宋_GB2312" w:hAnsi="仿宋" w:eastAsia="仿宋_GB2312"/>
          <w:sz w:val="32"/>
          <w:szCs w:val="32"/>
          <w:lang w:val="en-US" w:eastAsia="zh-CN"/>
        </w:rPr>
        <w:t>123.82</w:t>
      </w:r>
      <w:r>
        <w:rPr>
          <w:rFonts w:hint="eastAsia" w:ascii="仿宋_GB2312" w:hAnsi="仿宋" w:eastAsia="仿宋_GB2312"/>
          <w:sz w:val="32"/>
          <w:szCs w:val="32"/>
        </w:rPr>
        <w:t>万元，较上年105.17万元</w:t>
      </w:r>
      <w:r>
        <w:rPr>
          <w:rFonts w:hint="eastAsia" w:ascii="仿宋_GB2312" w:hAnsi="仿宋" w:eastAsia="仿宋_GB2312"/>
          <w:sz w:val="32"/>
          <w:szCs w:val="32"/>
          <w:lang w:val="en-US" w:eastAsia="zh-CN"/>
        </w:rPr>
        <w:t>增加18.65</w:t>
      </w:r>
      <w:r>
        <w:rPr>
          <w:rFonts w:hint="eastAsia" w:ascii="仿宋_GB2312" w:hAnsi="仿宋" w:eastAsia="仿宋_GB2312"/>
          <w:sz w:val="32"/>
          <w:szCs w:val="32"/>
        </w:rPr>
        <w:t>万元，主要原因是</w:t>
      </w:r>
      <w:r>
        <w:rPr>
          <w:rFonts w:hint="eastAsia" w:ascii="仿宋_GB2312" w:hAnsi="仿宋" w:eastAsia="仿宋_GB2312"/>
          <w:sz w:val="32"/>
          <w:szCs w:val="32"/>
          <w:lang w:val="en-US" w:eastAsia="zh-CN"/>
        </w:rPr>
        <w:t>人员工资及</w:t>
      </w:r>
      <w:r>
        <w:rPr>
          <w:rFonts w:hint="eastAsia" w:ascii="仿宋_GB2312" w:hAnsi="仿宋" w:eastAsia="仿宋_GB2312"/>
          <w:sz w:val="32"/>
          <w:szCs w:val="32"/>
        </w:rPr>
        <w:t>民族宗教工作</w:t>
      </w:r>
      <w:r>
        <w:rPr>
          <w:rFonts w:hint="eastAsia" w:ascii="仿宋_GB2312" w:hAnsi="仿宋" w:eastAsia="仿宋_GB2312"/>
          <w:sz w:val="32"/>
          <w:szCs w:val="32"/>
          <w:lang w:val="en-US" w:eastAsia="zh-CN"/>
        </w:rPr>
        <w:t>经费增加</w:t>
      </w:r>
      <w:r>
        <w:rPr>
          <w:rFonts w:hint="eastAsia" w:ascii="仿宋_GB2312" w:hAnsi="仿宋"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本年财政拨款支出</w:t>
      </w:r>
      <w:r>
        <w:rPr>
          <w:rFonts w:hint="eastAsia" w:ascii="仿宋_GB2312" w:hAnsi="仿宋" w:eastAsia="仿宋_GB2312"/>
          <w:sz w:val="32"/>
          <w:szCs w:val="32"/>
          <w:lang w:val="en-US" w:eastAsia="zh-CN"/>
        </w:rPr>
        <w:t>123.82</w:t>
      </w:r>
      <w:r>
        <w:rPr>
          <w:rFonts w:hint="eastAsia" w:ascii="仿宋_GB2312" w:hAnsi="仿宋" w:eastAsia="仿宋_GB2312"/>
          <w:sz w:val="32"/>
          <w:szCs w:val="32"/>
        </w:rPr>
        <w:t>万元，较上年105.17万元</w:t>
      </w:r>
      <w:r>
        <w:rPr>
          <w:rFonts w:hint="eastAsia" w:ascii="仿宋_GB2312" w:hAnsi="仿宋" w:eastAsia="仿宋_GB2312"/>
          <w:sz w:val="32"/>
          <w:szCs w:val="32"/>
          <w:lang w:val="en-US" w:eastAsia="zh-CN"/>
        </w:rPr>
        <w:t>增加18.65</w:t>
      </w:r>
      <w:r>
        <w:rPr>
          <w:rFonts w:hint="eastAsia" w:ascii="仿宋_GB2312" w:hAnsi="仿宋" w:eastAsia="仿宋_GB2312"/>
          <w:sz w:val="32"/>
          <w:szCs w:val="32"/>
        </w:rPr>
        <w:t>万元，主要原因是</w:t>
      </w:r>
      <w:r>
        <w:rPr>
          <w:rFonts w:hint="eastAsia" w:ascii="仿宋_GB2312" w:hAnsi="仿宋" w:eastAsia="仿宋_GB2312"/>
          <w:sz w:val="32"/>
          <w:szCs w:val="32"/>
          <w:lang w:val="en-US" w:eastAsia="zh-CN"/>
        </w:rPr>
        <w:t>人员工资及</w:t>
      </w:r>
      <w:r>
        <w:rPr>
          <w:rFonts w:hint="eastAsia" w:ascii="仿宋_GB2312" w:hAnsi="仿宋" w:eastAsia="仿宋_GB2312"/>
          <w:sz w:val="32"/>
          <w:szCs w:val="32"/>
        </w:rPr>
        <w:t>民族宗教工作</w:t>
      </w:r>
      <w:r>
        <w:rPr>
          <w:rFonts w:hint="eastAsia" w:ascii="仿宋_GB2312" w:hAnsi="仿宋" w:eastAsia="仿宋_GB2312"/>
          <w:sz w:val="32"/>
          <w:szCs w:val="32"/>
          <w:lang w:val="en-US" w:eastAsia="zh-CN"/>
        </w:rPr>
        <w:t>支出增加</w:t>
      </w:r>
      <w:r>
        <w:rPr>
          <w:rFonts w:hint="eastAsia" w:ascii="仿宋_GB2312" w:hAnsi="仿宋" w:eastAsia="仿宋_GB2312"/>
          <w:sz w:val="32"/>
          <w:szCs w:val="32"/>
        </w:rPr>
        <w:t>。</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drawing>
          <wp:inline distT="0" distB="0" distL="114300" distR="114300">
            <wp:extent cx="4725035" cy="2825750"/>
            <wp:effectExtent l="4445" t="4445" r="13970" b="825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五、一般公共预算财政拨款支出决算情况</w:t>
      </w:r>
      <w:r>
        <w:rPr>
          <w:rFonts w:hint="eastAsia" w:ascii="黑体" w:hAnsi="黑体" w:eastAsia="黑体"/>
          <w:color w:val="000000"/>
          <w:kern w:val="0"/>
          <w:sz w:val="32"/>
          <w:szCs w:val="32"/>
          <w:lang w:eastAsia="zh-CN" w:bidi="ar"/>
        </w:rPr>
        <w:t>说明</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ascii="楷体_GB2312" w:hAnsi="宋体" w:eastAsia="楷体_GB2312" w:cs="楷体_GB2312"/>
          <w:b/>
          <w:color w:val="000000"/>
          <w:kern w:val="0"/>
          <w:sz w:val="32"/>
          <w:szCs w:val="32"/>
          <w:lang w:bidi="ar"/>
        </w:rPr>
      </w:pPr>
      <w:r>
        <w:rPr>
          <w:rFonts w:ascii="楷体_GB2312" w:hAnsi="宋体" w:eastAsia="楷体_GB2312" w:cs="楷体_GB2312"/>
          <w:b/>
          <w:color w:val="000000"/>
          <w:kern w:val="0"/>
          <w:sz w:val="32"/>
          <w:szCs w:val="32"/>
          <w:lang w:bidi="ar"/>
        </w:rPr>
        <w:t>（一）财政拨款支出决算总体情况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ascii="仿宋_GB2312" w:hAnsi="宋体" w:eastAsia="仿宋_GB2312" w:cs="仿宋_GB2312"/>
          <w:color w:val="000000"/>
          <w:kern w:val="0"/>
          <w:sz w:val="32"/>
          <w:szCs w:val="32"/>
          <w:lang w:bidi="ar"/>
        </w:rPr>
        <w:t>20</w:t>
      </w:r>
      <w:r>
        <w:rPr>
          <w:rFonts w:hint="eastAsia" w:ascii="仿宋_GB2312" w:hAnsi="宋体" w:eastAsia="仿宋_GB2312" w:cs="仿宋_GB2312"/>
          <w:color w:val="000000"/>
          <w:kern w:val="0"/>
          <w:sz w:val="32"/>
          <w:szCs w:val="32"/>
          <w:lang w:val="en-US" w:eastAsia="zh-CN" w:bidi="ar"/>
        </w:rPr>
        <w:t>20</w:t>
      </w:r>
      <w:r>
        <w:rPr>
          <w:rFonts w:ascii="仿宋_GB2312" w:hAnsi="宋体" w:eastAsia="仿宋_GB2312" w:cs="仿宋_GB2312"/>
          <w:color w:val="000000"/>
          <w:kern w:val="0"/>
          <w:sz w:val="32"/>
          <w:szCs w:val="32"/>
          <w:lang w:bidi="ar"/>
        </w:rPr>
        <w:t>年财政拨款支出</w:t>
      </w:r>
      <w:r>
        <w:rPr>
          <w:rFonts w:hint="eastAsia" w:ascii="仿宋_GB2312" w:hAnsi="仿宋" w:eastAsia="仿宋_GB2312"/>
          <w:sz w:val="32"/>
          <w:szCs w:val="32"/>
          <w:lang w:val="en-US" w:eastAsia="zh-CN"/>
        </w:rPr>
        <w:t>123.82</w:t>
      </w:r>
      <w:r>
        <w:rPr>
          <w:rFonts w:ascii="仿宋_GB2312" w:hAnsi="宋体" w:eastAsia="仿宋_GB2312" w:cs="仿宋_GB2312"/>
          <w:color w:val="000000"/>
          <w:kern w:val="0"/>
          <w:sz w:val="32"/>
          <w:szCs w:val="32"/>
          <w:lang w:bidi="ar"/>
        </w:rPr>
        <w:t>万元，占本年支出合计的</w:t>
      </w:r>
      <w:r>
        <w:rPr>
          <w:rFonts w:hint="eastAsia" w:ascii="仿宋_GB2312" w:hAnsi="宋体" w:eastAsia="仿宋_GB2312" w:cs="仿宋_GB2312"/>
          <w:color w:val="000000"/>
          <w:kern w:val="0"/>
          <w:sz w:val="32"/>
          <w:szCs w:val="32"/>
          <w:lang w:val="en-US" w:eastAsia="zh-CN" w:bidi="ar"/>
        </w:rPr>
        <w:t>93.10</w:t>
      </w:r>
      <w:r>
        <w:rPr>
          <w:rFonts w:ascii="仿宋_GB2312" w:hAnsi="宋体" w:eastAsia="仿宋_GB2312" w:cs="仿宋_GB2312"/>
          <w:color w:val="000000"/>
          <w:kern w:val="0"/>
          <w:sz w:val="32"/>
          <w:szCs w:val="32"/>
          <w:lang w:bidi="ar"/>
        </w:rPr>
        <w:t>%。与</w:t>
      </w:r>
      <w:r>
        <w:rPr>
          <w:rFonts w:hint="eastAsia" w:ascii="仿宋_GB2312" w:hAnsi="宋体" w:eastAsia="仿宋_GB2312" w:cs="仿宋_GB2312"/>
          <w:color w:val="000000"/>
          <w:kern w:val="0"/>
          <w:sz w:val="32"/>
          <w:szCs w:val="32"/>
          <w:lang w:bidi="ar"/>
        </w:rPr>
        <w:t>上年</w:t>
      </w:r>
      <w:r>
        <w:rPr>
          <w:rFonts w:ascii="仿宋_GB2312" w:hAnsi="宋体" w:eastAsia="仿宋_GB2312" w:cs="仿宋_GB2312"/>
          <w:color w:val="000000"/>
          <w:kern w:val="0"/>
          <w:sz w:val="32"/>
          <w:szCs w:val="32"/>
          <w:lang w:bidi="ar"/>
        </w:rPr>
        <w:t>相比，财政拨款支出</w:t>
      </w:r>
      <w:r>
        <w:rPr>
          <w:rFonts w:hint="eastAsia" w:ascii="仿宋_GB2312" w:hAnsi="仿宋" w:eastAsia="仿宋_GB2312"/>
          <w:sz w:val="32"/>
          <w:szCs w:val="32"/>
          <w:lang w:val="en-US" w:eastAsia="zh-CN"/>
        </w:rPr>
        <w:t>增加18.65</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增加17.73%，</w:t>
      </w:r>
      <w:r>
        <w:rPr>
          <w:rFonts w:hint="eastAsia" w:ascii="仿宋_GB2312" w:hAnsi="仿宋" w:eastAsia="仿宋_GB2312"/>
          <w:sz w:val="32"/>
          <w:szCs w:val="32"/>
        </w:rPr>
        <w:t>主要原因是</w:t>
      </w:r>
      <w:r>
        <w:rPr>
          <w:rFonts w:hint="eastAsia" w:ascii="仿宋_GB2312" w:hAnsi="仿宋" w:eastAsia="仿宋_GB2312"/>
          <w:sz w:val="32"/>
          <w:szCs w:val="32"/>
          <w:lang w:val="en-US" w:eastAsia="zh-CN"/>
        </w:rPr>
        <w:t>人员工资及</w:t>
      </w:r>
      <w:r>
        <w:rPr>
          <w:rFonts w:hint="eastAsia" w:ascii="仿宋_GB2312" w:hAnsi="仿宋" w:eastAsia="仿宋_GB2312"/>
          <w:sz w:val="32"/>
          <w:szCs w:val="32"/>
        </w:rPr>
        <w:t>民族宗教工作</w:t>
      </w:r>
      <w:r>
        <w:rPr>
          <w:rFonts w:hint="eastAsia" w:ascii="仿宋_GB2312" w:hAnsi="仿宋" w:eastAsia="仿宋_GB2312"/>
          <w:sz w:val="32"/>
          <w:szCs w:val="32"/>
          <w:lang w:val="en-US" w:eastAsia="zh-CN"/>
        </w:rPr>
        <w:t>支出增加</w:t>
      </w:r>
      <w:r>
        <w:rPr>
          <w:rFonts w:hint="eastAsia" w:ascii="仿宋_GB2312" w:hAnsi="仿宋" w:eastAsia="仿宋_GB2312"/>
          <w:sz w:val="32"/>
          <w:szCs w:val="32"/>
        </w:rPr>
        <w:t>。</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drawing>
          <wp:inline distT="0" distB="0" distL="114300" distR="114300">
            <wp:extent cx="4692015" cy="2444115"/>
            <wp:effectExtent l="4445" t="4445" r="8890" b="889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财政拨款支出决算具体情况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pPr>
      <w:r>
        <w:rPr>
          <w:rFonts w:ascii="仿宋_GB2312" w:hAnsi="宋体" w:eastAsia="仿宋_GB2312" w:cs="仿宋_GB2312"/>
          <w:color w:val="000000"/>
          <w:kern w:val="0"/>
          <w:sz w:val="32"/>
          <w:szCs w:val="32"/>
          <w:lang w:bidi="ar"/>
        </w:rPr>
        <w:t>20</w:t>
      </w:r>
      <w:r>
        <w:rPr>
          <w:rFonts w:hint="eastAsia" w:ascii="仿宋_GB2312" w:hAnsi="宋体" w:eastAsia="仿宋_GB2312" w:cs="仿宋_GB2312"/>
          <w:color w:val="000000"/>
          <w:kern w:val="0"/>
          <w:sz w:val="32"/>
          <w:szCs w:val="32"/>
          <w:lang w:val="en-US" w:eastAsia="zh-CN" w:bidi="ar"/>
        </w:rPr>
        <w:t>20</w:t>
      </w:r>
      <w:r>
        <w:rPr>
          <w:rFonts w:ascii="仿宋_GB2312" w:hAnsi="宋体" w:eastAsia="仿宋_GB2312" w:cs="仿宋_GB2312"/>
          <w:color w:val="000000"/>
          <w:kern w:val="0"/>
          <w:sz w:val="32"/>
          <w:szCs w:val="32"/>
          <w:lang w:bidi="ar"/>
        </w:rPr>
        <w:t>年财政拨款支出年初预算为</w:t>
      </w:r>
      <w:r>
        <w:rPr>
          <w:rFonts w:hint="eastAsia" w:ascii="仿宋_GB2312" w:hAnsi="宋体" w:eastAsia="仿宋_GB2312" w:cs="仿宋_GB2312"/>
          <w:color w:val="000000"/>
          <w:kern w:val="0"/>
          <w:sz w:val="32"/>
          <w:szCs w:val="32"/>
          <w:lang w:val="en-US" w:eastAsia="zh-CN" w:bidi="ar"/>
        </w:rPr>
        <w:t>131.23</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123.82</w:t>
      </w:r>
      <w:r>
        <w:rPr>
          <w:rFonts w:ascii="仿宋_GB2312" w:hAnsi="宋体" w:eastAsia="仿宋_GB2312" w:cs="仿宋_GB2312"/>
          <w:color w:val="000000"/>
          <w:kern w:val="0"/>
          <w:sz w:val="32"/>
          <w:szCs w:val="32"/>
          <w:lang w:bidi="ar"/>
        </w:rPr>
        <w:t>万元，完成年初预算的</w:t>
      </w:r>
      <w:r>
        <w:rPr>
          <w:rFonts w:hint="eastAsia" w:ascii="仿宋_GB2312" w:hAnsi="宋体" w:eastAsia="仿宋_GB2312" w:cs="仿宋_GB2312"/>
          <w:color w:val="000000"/>
          <w:kern w:val="0"/>
          <w:sz w:val="32"/>
          <w:szCs w:val="32"/>
          <w:lang w:val="en-US" w:eastAsia="zh-CN" w:bidi="ar"/>
        </w:rPr>
        <w:t>94.35</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按照政府功能分类科目，</w:t>
      </w:r>
      <w:r>
        <w:rPr>
          <w:rFonts w:ascii="仿宋_GB2312" w:hAnsi="宋体" w:eastAsia="仿宋_GB2312" w:cs="仿宋_GB2312"/>
          <w:color w:val="000000"/>
          <w:kern w:val="0"/>
          <w:sz w:val="32"/>
          <w:szCs w:val="32"/>
          <w:lang w:bidi="ar"/>
        </w:rPr>
        <w:t xml:space="preserve">其中： </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宋体" w:eastAsia="仿宋_GB2312" w:cs="仿宋_GB2312"/>
          <w:color w:val="000000"/>
          <w:kern w:val="0"/>
          <w:sz w:val="32"/>
          <w:szCs w:val="32"/>
          <w:lang w:bidi="ar"/>
        </w:rPr>
      </w:pPr>
      <w:r>
        <w:rPr>
          <w:rFonts w:hint="eastAsia" w:ascii="仿宋_GB2312" w:hAnsi="宋体" w:eastAsia="仿宋_GB2312" w:cs="仿宋_GB2312"/>
          <w:b/>
          <w:color w:val="000000"/>
          <w:kern w:val="0"/>
          <w:sz w:val="32"/>
          <w:szCs w:val="32"/>
          <w:lang w:bidi="ar"/>
        </w:rPr>
        <w:t>1.民主党派及工商联事务</w:t>
      </w:r>
      <w:r>
        <w:rPr>
          <w:rFonts w:hint="eastAsia" w:ascii="仿宋_GB2312" w:hAnsi="宋体" w:eastAsia="仿宋_GB2312" w:cs="仿宋_GB2312"/>
          <w:b/>
          <w:color w:val="000000"/>
          <w:kern w:val="0"/>
          <w:sz w:val="32"/>
          <w:szCs w:val="32"/>
          <w:lang w:eastAsia="zh-CN" w:bidi="ar"/>
        </w:rPr>
        <w:t>（</w:t>
      </w:r>
      <w:r>
        <w:rPr>
          <w:rFonts w:hint="eastAsia" w:ascii="仿宋_GB2312" w:hAnsi="宋体" w:eastAsia="仿宋_GB2312" w:cs="仿宋_GB2312"/>
          <w:b/>
          <w:color w:val="000000"/>
          <w:kern w:val="0"/>
          <w:sz w:val="32"/>
          <w:szCs w:val="32"/>
          <w:lang w:val="en-US" w:eastAsia="zh-CN" w:bidi="ar"/>
        </w:rPr>
        <w:t>20128</w:t>
      </w:r>
      <w:r>
        <w:rPr>
          <w:rFonts w:hint="eastAsia" w:ascii="仿宋_GB2312" w:hAnsi="宋体" w:eastAsia="仿宋_GB2312" w:cs="仿宋_GB2312"/>
          <w:b/>
          <w:color w:val="000000"/>
          <w:kern w:val="0"/>
          <w:sz w:val="32"/>
          <w:szCs w:val="32"/>
          <w:lang w:eastAsia="zh-CN" w:bidi="ar"/>
        </w:rPr>
        <w:t>）</w:t>
      </w:r>
      <w:r>
        <w:rPr>
          <w:rFonts w:hint="eastAsia" w:ascii="仿宋_GB2312" w:hAnsi="宋体" w:eastAsia="仿宋_GB2312" w:cs="仿宋_GB2312"/>
          <w:b/>
          <w:color w:val="000000"/>
          <w:kern w:val="0"/>
          <w:sz w:val="32"/>
          <w:szCs w:val="32"/>
          <w:lang w:bidi="ar"/>
        </w:rPr>
        <w:t>：</w:t>
      </w:r>
      <w:r>
        <w:rPr>
          <w:rFonts w:ascii="仿宋_GB2312" w:hAnsi="宋体" w:eastAsia="仿宋_GB2312" w:cs="仿宋_GB2312"/>
          <w:color w:val="auto"/>
          <w:kern w:val="0"/>
          <w:sz w:val="32"/>
          <w:szCs w:val="32"/>
          <w:lang w:bidi="ar"/>
        </w:rPr>
        <w:t>年初预算为</w:t>
      </w:r>
      <w:r>
        <w:rPr>
          <w:rFonts w:hint="eastAsia" w:ascii="仿宋_GB2312" w:hAnsi="宋体" w:eastAsia="仿宋_GB2312" w:cs="仿宋_GB2312"/>
          <w:color w:val="auto"/>
          <w:kern w:val="0"/>
          <w:sz w:val="32"/>
          <w:szCs w:val="32"/>
          <w:lang w:val="en-US" w:eastAsia="zh-CN" w:bidi="ar"/>
        </w:rPr>
        <w:t>45.63</w:t>
      </w:r>
      <w:r>
        <w:rPr>
          <w:rFonts w:ascii="仿宋_GB2312" w:hAnsi="宋体" w:eastAsia="仿宋_GB2312" w:cs="仿宋_GB2312"/>
          <w:color w:val="auto"/>
          <w:kern w:val="0"/>
          <w:sz w:val="32"/>
          <w:szCs w:val="32"/>
          <w:lang w:bidi="ar"/>
        </w:rPr>
        <w:t>万元，支出决算为</w:t>
      </w:r>
      <w:r>
        <w:rPr>
          <w:rFonts w:hint="eastAsia" w:ascii="仿宋_GB2312" w:hAnsi="宋体" w:eastAsia="仿宋_GB2312" w:cs="仿宋_GB2312"/>
          <w:color w:val="auto"/>
          <w:kern w:val="0"/>
          <w:sz w:val="32"/>
          <w:szCs w:val="32"/>
          <w:lang w:val="en-US" w:eastAsia="zh-CN" w:bidi="ar"/>
        </w:rPr>
        <w:t>33.43</w:t>
      </w:r>
      <w:r>
        <w:rPr>
          <w:rFonts w:ascii="仿宋_GB2312" w:hAnsi="宋体" w:eastAsia="仿宋_GB2312" w:cs="仿宋_GB2312"/>
          <w:color w:val="auto"/>
          <w:kern w:val="0"/>
          <w:sz w:val="32"/>
          <w:szCs w:val="32"/>
          <w:lang w:bidi="ar"/>
        </w:rPr>
        <w:t>万元，完成年初预算的</w:t>
      </w:r>
      <w:r>
        <w:rPr>
          <w:rFonts w:hint="eastAsia" w:ascii="仿宋_GB2312" w:hAnsi="宋体" w:eastAsia="仿宋_GB2312" w:cs="仿宋_GB2312"/>
          <w:color w:val="auto"/>
          <w:kern w:val="0"/>
          <w:sz w:val="32"/>
          <w:szCs w:val="32"/>
          <w:lang w:val="en-US" w:eastAsia="zh-CN" w:bidi="ar"/>
        </w:rPr>
        <w:t>73.26</w:t>
      </w:r>
      <w:r>
        <w:rPr>
          <w:rFonts w:ascii="仿宋_GB2312" w:hAnsi="宋体" w:eastAsia="仿宋_GB2312" w:cs="仿宋_GB2312"/>
          <w:color w:val="auto"/>
          <w:kern w:val="0"/>
          <w:sz w:val="32"/>
          <w:szCs w:val="32"/>
          <w:lang w:bidi="ar"/>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（1）事业运行</w:t>
      </w:r>
      <w:r>
        <w:rPr>
          <w:rFonts w:hint="eastAsia" w:ascii="仿宋_GB2312" w:hAnsi="宋体" w:eastAsia="仿宋_GB2312" w:cs="仿宋_GB2312"/>
          <w:color w:val="000000"/>
          <w:kern w:val="0"/>
          <w:sz w:val="32"/>
          <w:szCs w:val="32"/>
          <w:lang w:eastAsia="zh-CN" w:bidi="ar"/>
        </w:rPr>
        <w:t>（</w:t>
      </w:r>
      <w:r>
        <w:rPr>
          <w:rFonts w:hint="eastAsia" w:ascii="仿宋_GB2312" w:hAnsi="宋体" w:eastAsia="仿宋_GB2312" w:cs="仿宋_GB2312"/>
          <w:color w:val="000000"/>
          <w:kern w:val="0"/>
          <w:sz w:val="32"/>
          <w:szCs w:val="32"/>
          <w:lang w:val="en-US" w:eastAsia="zh-CN" w:bidi="ar"/>
        </w:rPr>
        <w:t>2012850</w:t>
      </w:r>
      <w:r>
        <w:rPr>
          <w:rFonts w:hint="eastAsia" w:ascii="仿宋_GB2312" w:hAnsi="宋体" w:eastAsia="仿宋_GB2312" w:cs="仿宋_GB2312"/>
          <w:color w:val="000000"/>
          <w:kern w:val="0"/>
          <w:sz w:val="32"/>
          <w:szCs w:val="32"/>
          <w:lang w:eastAsia="zh-CN" w:bidi="ar"/>
        </w:rPr>
        <w:t>）</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年初预算为</w:t>
      </w:r>
      <w:r>
        <w:rPr>
          <w:rFonts w:hint="eastAsia" w:ascii="仿宋_GB2312" w:hAnsi="宋体" w:eastAsia="仿宋_GB2312" w:cs="仿宋_GB2312"/>
          <w:color w:val="000000"/>
          <w:kern w:val="0"/>
          <w:sz w:val="32"/>
          <w:szCs w:val="32"/>
          <w:lang w:val="en-US" w:eastAsia="zh-CN" w:bidi="ar"/>
        </w:rPr>
        <w:t>34.63</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30.83</w:t>
      </w:r>
      <w:r>
        <w:rPr>
          <w:rFonts w:ascii="仿宋_GB2312" w:hAnsi="宋体" w:eastAsia="仿宋_GB2312" w:cs="仿宋_GB2312"/>
          <w:color w:val="000000"/>
          <w:kern w:val="0"/>
          <w:sz w:val="32"/>
          <w:szCs w:val="32"/>
          <w:lang w:bidi="ar"/>
        </w:rPr>
        <w:t>万元，完成年初预算的</w:t>
      </w:r>
      <w:r>
        <w:rPr>
          <w:rFonts w:hint="eastAsia" w:ascii="仿宋_GB2312" w:hAnsi="宋体" w:eastAsia="仿宋_GB2312" w:cs="仿宋_GB2312"/>
          <w:color w:val="000000"/>
          <w:kern w:val="0"/>
          <w:sz w:val="32"/>
          <w:szCs w:val="32"/>
          <w:lang w:val="en-US" w:eastAsia="zh-CN" w:bidi="ar"/>
        </w:rPr>
        <w:t>89.03</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val="en-US" w:eastAsia="zh-CN" w:bidi="ar"/>
        </w:rPr>
        <w:t>小</w:t>
      </w:r>
      <w:r>
        <w:rPr>
          <w:rFonts w:ascii="仿宋_GB2312" w:hAnsi="宋体" w:eastAsia="仿宋_GB2312" w:cs="仿宋_GB2312"/>
          <w:color w:val="000000"/>
          <w:kern w:val="0"/>
          <w:sz w:val="32"/>
          <w:szCs w:val="32"/>
          <w:lang w:bidi="ar"/>
        </w:rPr>
        <w:t>于预算数的主要原因是</w:t>
      </w:r>
      <w:r>
        <w:rPr>
          <w:rFonts w:hint="eastAsia" w:ascii="仿宋_GB2312" w:hAnsi="宋体" w:eastAsia="仿宋_GB2312" w:cs="仿宋_GB2312"/>
          <w:color w:val="000000"/>
          <w:kern w:val="0"/>
          <w:sz w:val="32"/>
          <w:szCs w:val="32"/>
          <w:lang w:val="en-US" w:eastAsia="zh-CN" w:bidi="ar"/>
        </w:rPr>
        <w:t>工商联</w:t>
      </w:r>
      <w:r>
        <w:rPr>
          <w:rFonts w:hint="eastAsia" w:ascii="仿宋_GB2312" w:hAnsi="宋体" w:eastAsia="仿宋_GB2312" w:cs="仿宋_GB2312"/>
          <w:color w:val="000000"/>
          <w:kern w:val="0"/>
          <w:sz w:val="32"/>
          <w:szCs w:val="32"/>
          <w:lang w:bidi="ar"/>
        </w:rPr>
        <w:t>本年人员</w:t>
      </w:r>
      <w:r>
        <w:rPr>
          <w:rFonts w:hint="eastAsia" w:ascii="仿宋_GB2312" w:hAnsi="宋体" w:eastAsia="仿宋_GB2312" w:cs="仿宋_GB2312"/>
          <w:color w:val="000000"/>
          <w:kern w:val="0"/>
          <w:sz w:val="32"/>
          <w:szCs w:val="32"/>
          <w:lang w:val="en-US" w:eastAsia="zh-CN" w:bidi="ar"/>
        </w:rPr>
        <w:t>减少</w:t>
      </w:r>
      <w:r>
        <w:rPr>
          <w:rFonts w:hint="eastAsia" w:ascii="仿宋_GB2312" w:hAnsi="宋体" w:eastAsia="仿宋_GB2312" w:cs="仿宋_GB2312"/>
          <w:color w:val="000000"/>
          <w:kern w:val="0"/>
          <w:sz w:val="32"/>
          <w:szCs w:val="32"/>
          <w:lang w:bidi="ar"/>
        </w:rPr>
        <w:t>导致工资福利支出</w:t>
      </w:r>
      <w:r>
        <w:rPr>
          <w:rFonts w:hint="eastAsia" w:ascii="仿宋_GB2312" w:hAnsi="宋体" w:eastAsia="仿宋_GB2312" w:cs="仿宋_GB2312"/>
          <w:color w:val="000000"/>
          <w:kern w:val="0"/>
          <w:sz w:val="32"/>
          <w:szCs w:val="32"/>
          <w:lang w:val="en-US" w:eastAsia="zh-CN" w:bidi="ar"/>
        </w:rPr>
        <w:t>减少</w:t>
      </w:r>
      <w:r>
        <w:rPr>
          <w:rFonts w:hint="eastAsia" w:ascii="仿宋_GB2312" w:hAnsi="宋体" w:eastAsia="仿宋_GB2312" w:cs="仿宋_GB2312"/>
          <w:color w:val="000000"/>
          <w:kern w:val="0"/>
          <w:sz w:val="32"/>
          <w:szCs w:val="32"/>
          <w:lang w:bidi="ar"/>
        </w:rPr>
        <w:t>。</w:t>
      </w:r>
    </w:p>
    <w:p>
      <w:pPr>
        <w:spacing w:line="560" w:lineRule="exact"/>
        <w:ind w:firstLine="640" w:firstLineChars="200"/>
        <w:rPr>
          <w:rFonts w:hint="default" w:ascii="仿宋_GB2312" w:hAnsi="宋体" w:eastAsia="仿宋_GB2312" w:cs="仿宋_GB2312"/>
          <w:color w:val="000000"/>
          <w:kern w:val="0"/>
          <w:sz w:val="32"/>
          <w:szCs w:val="32"/>
          <w:lang w:val="en-US" w:bidi="ar"/>
        </w:rPr>
      </w:pPr>
      <w:r>
        <w:rPr>
          <w:rFonts w:hint="eastAsia" w:ascii="仿宋_GB2312" w:hAnsi="宋体" w:eastAsia="仿宋_GB2312" w:cs="仿宋_GB2312"/>
          <w:color w:val="000000"/>
          <w:kern w:val="0"/>
          <w:sz w:val="32"/>
          <w:szCs w:val="32"/>
          <w:lang w:bidi="ar"/>
        </w:rPr>
        <w:t>（2）其他民主党派及工商联事务支出</w:t>
      </w:r>
      <w:r>
        <w:rPr>
          <w:rFonts w:hint="eastAsia" w:ascii="仿宋_GB2312" w:hAnsi="宋体" w:eastAsia="仿宋_GB2312" w:cs="仿宋_GB2312"/>
          <w:color w:val="000000"/>
          <w:kern w:val="0"/>
          <w:sz w:val="32"/>
          <w:szCs w:val="32"/>
          <w:lang w:eastAsia="zh-CN" w:bidi="ar"/>
        </w:rPr>
        <w:t>（</w:t>
      </w:r>
      <w:r>
        <w:rPr>
          <w:rFonts w:hint="eastAsia" w:ascii="仿宋_GB2312" w:hAnsi="宋体" w:eastAsia="仿宋_GB2312" w:cs="仿宋_GB2312"/>
          <w:color w:val="000000"/>
          <w:kern w:val="0"/>
          <w:sz w:val="32"/>
          <w:szCs w:val="32"/>
          <w:lang w:val="en-US" w:eastAsia="zh-CN" w:bidi="ar"/>
        </w:rPr>
        <w:t>2012899</w:t>
      </w:r>
      <w:r>
        <w:rPr>
          <w:rFonts w:hint="eastAsia" w:ascii="仿宋_GB2312" w:hAnsi="宋体" w:eastAsia="仿宋_GB2312" w:cs="仿宋_GB2312"/>
          <w:color w:val="000000"/>
          <w:kern w:val="0"/>
          <w:sz w:val="32"/>
          <w:szCs w:val="32"/>
          <w:lang w:eastAsia="zh-CN" w:bidi="ar"/>
        </w:rPr>
        <w:t>）</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年初预算为</w:t>
      </w:r>
      <w:r>
        <w:rPr>
          <w:rFonts w:hint="eastAsia" w:ascii="仿宋_GB2312" w:hAnsi="宋体" w:eastAsia="仿宋_GB2312" w:cs="仿宋_GB2312"/>
          <w:color w:val="000000"/>
          <w:kern w:val="0"/>
          <w:sz w:val="32"/>
          <w:szCs w:val="32"/>
          <w:lang w:val="en-US" w:eastAsia="zh-CN" w:bidi="ar"/>
        </w:rPr>
        <w:t>11.00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2.60</w:t>
      </w:r>
      <w:r>
        <w:rPr>
          <w:rFonts w:ascii="仿宋_GB2312" w:hAnsi="宋体" w:eastAsia="仿宋_GB2312" w:cs="仿宋_GB2312"/>
          <w:color w:val="000000"/>
          <w:kern w:val="0"/>
          <w:sz w:val="32"/>
          <w:szCs w:val="32"/>
          <w:lang w:bidi="ar"/>
        </w:rPr>
        <w:t>万元，完成年初预算的</w:t>
      </w:r>
      <w:r>
        <w:rPr>
          <w:rFonts w:hint="eastAsia" w:ascii="仿宋_GB2312" w:hAnsi="宋体" w:eastAsia="仿宋_GB2312" w:cs="仿宋_GB2312"/>
          <w:color w:val="000000"/>
          <w:kern w:val="0"/>
          <w:sz w:val="32"/>
          <w:szCs w:val="32"/>
          <w:lang w:val="en-US" w:eastAsia="zh-CN" w:bidi="ar"/>
        </w:rPr>
        <w:t>23.64</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val="en-US" w:eastAsia="zh-CN" w:bidi="ar"/>
        </w:rPr>
        <w:t>小</w:t>
      </w:r>
      <w:r>
        <w:rPr>
          <w:rFonts w:ascii="仿宋_GB2312" w:hAnsi="宋体" w:eastAsia="仿宋_GB2312" w:cs="仿宋_GB2312"/>
          <w:color w:val="000000"/>
          <w:kern w:val="0"/>
          <w:sz w:val="32"/>
          <w:szCs w:val="32"/>
          <w:lang w:bidi="ar"/>
        </w:rPr>
        <w:t>于预算数的主要原因是</w:t>
      </w:r>
      <w:r>
        <w:rPr>
          <w:rFonts w:hint="eastAsia" w:ascii="仿宋_GB2312" w:hAnsi="宋体" w:eastAsia="仿宋_GB2312" w:cs="仿宋_GB2312"/>
          <w:color w:val="000000"/>
          <w:kern w:val="0"/>
          <w:sz w:val="32"/>
          <w:szCs w:val="32"/>
          <w:lang w:val="en-US" w:eastAsia="zh-CN" w:bidi="ar"/>
        </w:rPr>
        <w:t>给镇办调减的基层商会工作经费未计入部门决算。</w:t>
      </w:r>
    </w:p>
    <w:p>
      <w:pPr>
        <w:spacing w:line="560" w:lineRule="exact"/>
        <w:ind w:firstLine="643"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b/>
          <w:bCs/>
          <w:color w:val="000000"/>
          <w:kern w:val="0"/>
          <w:sz w:val="32"/>
          <w:szCs w:val="32"/>
          <w:lang w:bidi="ar"/>
        </w:rPr>
        <w:t>2</w:t>
      </w:r>
      <w:r>
        <w:rPr>
          <w:rFonts w:ascii="仿宋_GB2312" w:hAnsi="宋体" w:eastAsia="仿宋_GB2312" w:cs="仿宋_GB2312"/>
          <w:b/>
          <w:bCs/>
          <w:color w:val="000000"/>
          <w:kern w:val="0"/>
          <w:sz w:val="32"/>
          <w:szCs w:val="32"/>
          <w:lang w:bidi="ar"/>
        </w:rPr>
        <w:t>.</w:t>
      </w:r>
      <w:r>
        <w:rPr>
          <w:rFonts w:hint="eastAsia" w:ascii="仿宋_GB2312" w:hAnsi="宋体" w:eastAsia="仿宋_GB2312" w:cs="仿宋_GB2312"/>
          <w:b/>
          <w:bCs/>
          <w:color w:val="000000"/>
          <w:kern w:val="0"/>
          <w:sz w:val="32"/>
          <w:szCs w:val="32"/>
          <w:lang w:bidi="ar"/>
        </w:rPr>
        <w:t>统战事务</w:t>
      </w:r>
      <w:r>
        <w:rPr>
          <w:rFonts w:hint="eastAsia" w:ascii="仿宋_GB2312" w:hAnsi="宋体" w:eastAsia="仿宋_GB2312" w:cs="仿宋_GB2312"/>
          <w:b/>
          <w:bCs/>
          <w:color w:val="000000"/>
          <w:kern w:val="0"/>
          <w:sz w:val="32"/>
          <w:szCs w:val="32"/>
          <w:lang w:eastAsia="zh-CN" w:bidi="ar"/>
        </w:rPr>
        <w:t>（</w:t>
      </w:r>
      <w:r>
        <w:rPr>
          <w:rFonts w:hint="eastAsia" w:ascii="仿宋_GB2312" w:hAnsi="宋体" w:eastAsia="仿宋_GB2312" w:cs="仿宋_GB2312"/>
          <w:b/>
          <w:bCs/>
          <w:color w:val="000000"/>
          <w:kern w:val="0"/>
          <w:sz w:val="32"/>
          <w:szCs w:val="32"/>
          <w:lang w:val="en-US" w:eastAsia="zh-CN" w:bidi="ar"/>
        </w:rPr>
        <w:t>20134</w:t>
      </w:r>
      <w:r>
        <w:rPr>
          <w:rFonts w:hint="eastAsia" w:ascii="仿宋_GB2312" w:hAnsi="宋体" w:eastAsia="仿宋_GB2312" w:cs="仿宋_GB2312"/>
          <w:b/>
          <w:bCs/>
          <w:color w:val="000000"/>
          <w:kern w:val="0"/>
          <w:sz w:val="32"/>
          <w:szCs w:val="32"/>
          <w:lang w:eastAsia="zh-CN" w:bidi="ar"/>
        </w:rPr>
        <w:t>）</w:t>
      </w:r>
      <w:r>
        <w:rPr>
          <w:rFonts w:hint="eastAsia" w:ascii="仿宋_GB2312" w:hAnsi="宋体" w:eastAsia="仿宋_GB2312" w:cs="仿宋_GB2312"/>
          <w:b/>
          <w:bCs/>
          <w:color w:val="000000"/>
          <w:kern w:val="0"/>
          <w:sz w:val="32"/>
          <w:szCs w:val="32"/>
          <w:lang w:bidi="ar"/>
        </w:rPr>
        <w:t>：</w:t>
      </w:r>
      <w:r>
        <w:rPr>
          <w:rFonts w:ascii="仿宋_GB2312" w:hAnsi="宋体" w:eastAsia="仿宋_GB2312" w:cs="仿宋_GB2312"/>
          <w:color w:val="000000"/>
          <w:kern w:val="0"/>
          <w:sz w:val="32"/>
          <w:szCs w:val="32"/>
          <w:lang w:bidi="ar"/>
        </w:rPr>
        <w:t>年初预算为</w:t>
      </w:r>
      <w:r>
        <w:rPr>
          <w:rFonts w:hint="eastAsia" w:ascii="仿宋_GB2312" w:hAnsi="宋体" w:eastAsia="仿宋_GB2312" w:cs="仿宋_GB2312"/>
          <w:color w:val="000000"/>
          <w:kern w:val="0"/>
          <w:sz w:val="32"/>
          <w:szCs w:val="32"/>
          <w:lang w:val="en-US" w:eastAsia="zh-CN" w:bidi="ar"/>
        </w:rPr>
        <w:t>85.60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90.38</w:t>
      </w:r>
      <w:r>
        <w:rPr>
          <w:rFonts w:ascii="仿宋_GB2312" w:hAnsi="宋体" w:eastAsia="仿宋_GB2312" w:cs="仿宋_GB2312"/>
          <w:color w:val="000000"/>
          <w:kern w:val="0"/>
          <w:sz w:val="32"/>
          <w:szCs w:val="32"/>
          <w:lang w:bidi="ar"/>
        </w:rPr>
        <w:t>万元，完成年初预算的</w:t>
      </w:r>
      <w:r>
        <w:rPr>
          <w:rFonts w:hint="eastAsia" w:ascii="仿宋_GB2312" w:hAnsi="宋体" w:eastAsia="仿宋_GB2312" w:cs="仿宋_GB2312"/>
          <w:color w:val="000000"/>
          <w:kern w:val="0"/>
          <w:sz w:val="32"/>
          <w:szCs w:val="32"/>
          <w:lang w:val="en-US" w:eastAsia="zh-CN" w:bidi="ar"/>
        </w:rPr>
        <w:t>105.58</w:t>
      </w:r>
      <w:r>
        <w:rPr>
          <w:rFonts w:ascii="仿宋_GB2312" w:hAnsi="宋体" w:eastAsia="仿宋_GB2312" w:cs="仿宋_GB2312"/>
          <w:color w:val="000000"/>
          <w:kern w:val="0"/>
          <w:sz w:val="32"/>
          <w:szCs w:val="32"/>
          <w:lang w:bidi="ar"/>
        </w:rPr>
        <w:t>%。</w:t>
      </w:r>
    </w:p>
    <w:p>
      <w:pPr>
        <w:spacing w:line="560" w:lineRule="exact"/>
        <w:ind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（1）行政运行</w:t>
      </w:r>
      <w:r>
        <w:rPr>
          <w:rFonts w:hint="eastAsia" w:ascii="仿宋_GB2312" w:hAnsi="宋体" w:eastAsia="仿宋_GB2312" w:cs="仿宋_GB2312"/>
          <w:color w:val="000000"/>
          <w:kern w:val="0"/>
          <w:sz w:val="32"/>
          <w:szCs w:val="32"/>
          <w:lang w:eastAsia="zh-CN" w:bidi="ar"/>
        </w:rPr>
        <w:t>（</w:t>
      </w:r>
      <w:r>
        <w:rPr>
          <w:rFonts w:hint="eastAsia" w:ascii="仿宋_GB2312" w:hAnsi="宋体" w:eastAsia="仿宋_GB2312" w:cs="仿宋_GB2312"/>
          <w:color w:val="000000"/>
          <w:kern w:val="0"/>
          <w:sz w:val="32"/>
          <w:szCs w:val="32"/>
          <w:lang w:val="en-US" w:eastAsia="zh-CN" w:bidi="ar"/>
        </w:rPr>
        <w:t>2013401</w:t>
      </w:r>
      <w:r>
        <w:rPr>
          <w:rFonts w:hint="eastAsia" w:ascii="仿宋_GB2312" w:hAnsi="宋体" w:eastAsia="仿宋_GB2312" w:cs="仿宋_GB2312"/>
          <w:color w:val="000000"/>
          <w:kern w:val="0"/>
          <w:sz w:val="32"/>
          <w:szCs w:val="32"/>
          <w:lang w:eastAsia="zh-CN" w:bidi="ar"/>
        </w:rPr>
        <w:t>）</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年初预算为</w:t>
      </w:r>
      <w:r>
        <w:rPr>
          <w:rFonts w:hint="eastAsia" w:ascii="仿宋_GB2312" w:hAnsi="宋体" w:eastAsia="仿宋_GB2312" w:cs="仿宋_GB2312"/>
          <w:color w:val="000000"/>
          <w:kern w:val="0"/>
          <w:sz w:val="32"/>
          <w:szCs w:val="32"/>
          <w:lang w:val="en-US" w:eastAsia="zh-CN" w:bidi="ar"/>
        </w:rPr>
        <w:t>73.60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86.39</w:t>
      </w:r>
      <w:r>
        <w:rPr>
          <w:rFonts w:ascii="仿宋_GB2312" w:hAnsi="宋体" w:eastAsia="仿宋_GB2312" w:cs="仿宋_GB2312"/>
          <w:color w:val="000000"/>
          <w:kern w:val="0"/>
          <w:sz w:val="32"/>
          <w:szCs w:val="32"/>
          <w:lang w:bidi="ar"/>
        </w:rPr>
        <w:t>万元，完成年初预算的</w:t>
      </w:r>
      <w:r>
        <w:rPr>
          <w:rFonts w:hint="eastAsia" w:ascii="仿宋_GB2312" w:hAnsi="宋体" w:eastAsia="仿宋_GB2312" w:cs="仿宋_GB2312"/>
          <w:color w:val="000000"/>
          <w:kern w:val="0"/>
          <w:sz w:val="32"/>
          <w:szCs w:val="32"/>
          <w:lang w:val="en-US" w:eastAsia="zh-CN" w:bidi="ar"/>
        </w:rPr>
        <w:t>117.38</w:t>
      </w:r>
      <w:r>
        <w:rPr>
          <w:rFonts w:ascii="仿宋_GB2312" w:hAnsi="宋体" w:eastAsia="仿宋_GB2312" w:cs="仿宋_GB2312"/>
          <w:color w:val="000000"/>
          <w:kern w:val="0"/>
          <w:sz w:val="32"/>
          <w:szCs w:val="32"/>
          <w:lang w:bidi="ar"/>
        </w:rPr>
        <w:t>%。决算数大于预算数的主要原因是</w:t>
      </w:r>
      <w:r>
        <w:rPr>
          <w:rFonts w:hint="eastAsia" w:ascii="仿宋_GB2312" w:hAnsi="宋体" w:eastAsia="仿宋_GB2312" w:cs="仿宋_GB2312"/>
          <w:color w:val="000000"/>
          <w:kern w:val="0"/>
          <w:sz w:val="32"/>
          <w:szCs w:val="32"/>
          <w:lang w:val="en-US" w:eastAsia="zh-CN" w:bidi="ar"/>
        </w:rPr>
        <w:t>统战部人员增加导致</w:t>
      </w:r>
      <w:r>
        <w:rPr>
          <w:rFonts w:hint="eastAsia" w:ascii="仿宋_GB2312" w:hAnsi="宋体" w:eastAsia="仿宋_GB2312" w:cs="仿宋_GB2312"/>
          <w:color w:val="000000"/>
          <w:kern w:val="0"/>
          <w:sz w:val="32"/>
          <w:szCs w:val="32"/>
          <w:lang w:bidi="ar"/>
        </w:rPr>
        <w:t>工资福利支出增加。</w:t>
      </w:r>
    </w:p>
    <w:p>
      <w:pPr>
        <w:spacing w:line="560" w:lineRule="exact"/>
        <w:ind w:firstLine="640" w:firstLineChars="200"/>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（2）</w:t>
      </w:r>
      <w:r>
        <w:rPr>
          <w:rFonts w:hint="eastAsia" w:ascii="仿宋_GB2312" w:hAnsi="宋体" w:eastAsia="仿宋_GB2312" w:cs="仿宋_GB2312"/>
          <w:color w:val="000000"/>
          <w:kern w:val="0"/>
          <w:sz w:val="32"/>
          <w:szCs w:val="32"/>
          <w:lang w:val="en-US" w:eastAsia="zh-CN" w:bidi="ar"/>
        </w:rPr>
        <w:t>宗教事务（2013404）</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年初预算为</w:t>
      </w:r>
      <w:r>
        <w:rPr>
          <w:rFonts w:hint="eastAsia" w:ascii="仿宋_GB2312" w:hAnsi="宋体" w:eastAsia="仿宋_GB2312" w:cs="仿宋_GB2312"/>
          <w:color w:val="000000"/>
          <w:kern w:val="0"/>
          <w:sz w:val="32"/>
          <w:szCs w:val="32"/>
          <w:lang w:val="en-US" w:eastAsia="zh-CN" w:bidi="ar"/>
        </w:rPr>
        <w:t>10</w:t>
      </w:r>
      <w:r>
        <w:rPr>
          <w:rFonts w:ascii="仿宋_GB2312" w:hAnsi="宋体" w:eastAsia="仿宋_GB2312" w:cs="仿宋_GB2312"/>
          <w:color w:val="000000"/>
          <w:kern w:val="0"/>
          <w:sz w:val="32"/>
          <w:szCs w:val="32"/>
          <w:lang w:bidi="ar"/>
        </w:rPr>
        <w:t>.00万元，支出决算为</w:t>
      </w:r>
      <w:r>
        <w:rPr>
          <w:rFonts w:hint="eastAsia" w:ascii="仿宋_GB2312" w:hAnsi="宋体" w:eastAsia="仿宋_GB2312" w:cs="仿宋_GB2312"/>
          <w:color w:val="000000"/>
          <w:kern w:val="0"/>
          <w:sz w:val="32"/>
          <w:szCs w:val="32"/>
          <w:lang w:val="en-US" w:eastAsia="zh-CN" w:bidi="ar"/>
        </w:rPr>
        <w:t>3.99</w:t>
      </w:r>
      <w:r>
        <w:rPr>
          <w:rFonts w:ascii="仿宋_GB2312" w:hAnsi="宋体" w:eastAsia="仿宋_GB2312" w:cs="仿宋_GB2312"/>
          <w:color w:val="000000"/>
          <w:kern w:val="0"/>
          <w:sz w:val="32"/>
          <w:szCs w:val="32"/>
          <w:lang w:bidi="ar"/>
        </w:rPr>
        <w:t>万元，完成年初预算的</w:t>
      </w:r>
      <w:r>
        <w:rPr>
          <w:rFonts w:hint="eastAsia" w:ascii="仿宋_GB2312" w:hAnsi="宋体" w:eastAsia="仿宋_GB2312" w:cs="仿宋_GB2312"/>
          <w:color w:val="000000"/>
          <w:kern w:val="0"/>
          <w:sz w:val="32"/>
          <w:szCs w:val="32"/>
          <w:lang w:val="en-US" w:eastAsia="zh-CN" w:bidi="ar"/>
        </w:rPr>
        <w:t>39.90</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小</w:t>
      </w:r>
      <w:r>
        <w:rPr>
          <w:rFonts w:ascii="仿宋_GB2312" w:hAnsi="宋体" w:eastAsia="仿宋_GB2312" w:cs="仿宋_GB2312"/>
          <w:color w:val="000000"/>
          <w:kern w:val="0"/>
          <w:sz w:val="32"/>
          <w:szCs w:val="32"/>
          <w:lang w:bidi="ar"/>
        </w:rPr>
        <w:t>于预算数的主要原因是</w:t>
      </w:r>
      <w:r>
        <w:rPr>
          <w:rFonts w:hint="eastAsia" w:ascii="仿宋_GB2312" w:hAnsi="宋体" w:eastAsia="仿宋_GB2312" w:cs="仿宋_GB2312"/>
          <w:color w:val="000000"/>
          <w:kern w:val="0"/>
          <w:sz w:val="32"/>
          <w:szCs w:val="32"/>
          <w:lang w:val="en-US" w:eastAsia="zh-CN" w:bidi="ar"/>
        </w:rPr>
        <w:t>给镇办调减的民族宗教工作经费未计入部门决算。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黑体" w:hAnsi="黑体" w:eastAsia="黑体"/>
          <w:color w:val="000000"/>
          <w:kern w:val="0"/>
          <w:sz w:val="32"/>
          <w:szCs w:val="32"/>
          <w:lang w:bidi="ar"/>
        </w:rPr>
        <w:t>六、一般公共预算财政拨款基本支出决算情况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年一般公共预算财政拨款基本支出</w:t>
      </w:r>
      <w:r>
        <w:rPr>
          <w:rFonts w:hint="eastAsia" w:ascii="仿宋_GB2312" w:hAnsi="仿宋_GB2312" w:eastAsia="仿宋_GB2312" w:cs="仿宋_GB2312"/>
          <w:sz w:val="32"/>
          <w:szCs w:val="32"/>
          <w:lang w:val="en-US" w:eastAsia="zh-CN"/>
        </w:rPr>
        <w:t>117.22</w:t>
      </w:r>
      <w:r>
        <w:rPr>
          <w:rFonts w:hint="eastAsia" w:ascii="仿宋_GB2312" w:hAnsi="仿宋_GB2312" w:eastAsia="仿宋_GB2312" w:cs="仿宋_GB2312"/>
          <w:sz w:val="32"/>
          <w:szCs w:val="32"/>
        </w:rPr>
        <w:t>万元，包括：人员经费支出</w:t>
      </w:r>
      <w:r>
        <w:rPr>
          <w:rFonts w:hint="eastAsia" w:ascii="仿宋_GB2312" w:hAnsi="仿宋_GB2312" w:eastAsia="仿宋_GB2312" w:cs="仿宋_GB2312"/>
          <w:sz w:val="32"/>
          <w:szCs w:val="32"/>
          <w:lang w:val="en-US" w:eastAsia="zh-CN"/>
        </w:rPr>
        <w:t>107.96</w:t>
      </w:r>
      <w:r>
        <w:rPr>
          <w:rFonts w:hint="eastAsia" w:ascii="仿宋_GB2312" w:hAnsi="仿宋_GB2312" w:eastAsia="仿宋_GB2312" w:cs="仿宋_GB2312"/>
          <w:sz w:val="32"/>
          <w:szCs w:val="32"/>
        </w:rPr>
        <w:t>万元和公用经费支出</w:t>
      </w:r>
      <w:r>
        <w:rPr>
          <w:rFonts w:hint="eastAsia" w:ascii="仿宋_GB2312" w:hAnsi="仿宋_GB2312" w:eastAsia="仿宋_GB2312" w:cs="仿宋_GB2312"/>
          <w:sz w:val="32"/>
          <w:szCs w:val="32"/>
          <w:lang w:val="en-US" w:eastAsia="zh-CN"/>
        </w:rPr>
        <w:t>9.26</w:t>
      </w:r>
      <w:r>
        <w:rPr>
          <w:rFonts w:hint="eastAsia" w:ascii="仿宋_GB2312" w:hAnsi="仿宋_GB2312" w:eastAsia="仿宋_GB2312" w:cs="仿宋_GB2312"/>
          <w:sz w:val="32"/>
          <w:szCs w:val="32"/>
        </w:rPr>
        <w:t>万元。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人员经费</w:t>
      </w:r>
      <w:r>
        <w:rPr>
          <w:rFonts w:hint="eastAsia" w:ascii="仿宋_GB2312" w:hAnsi="仿宋_GB2312" w:eastAsia="仿宋_GB2312" w:cs="仿宋_GB2312"/>
          <w:sz w:val="32"/>
          <w:szCs w:val="32"/>
          <w:lang w:val="en-US" w:eastAsia="zh-CN"/>
        </w:rPr>
        <w:t>107.96</w:t>
      </w:r>
      <w:r>
        <w:rPr>
          <w:rFonts w:hint="eastAsia" w:ascii="仿宋_GB2312" w:hAnsi="仿宋_GB2312" w:eastAsia="仿宋_GB2312" w:cs="仿宋_GB2312"/>
          <w:sz w:val="32"/>
          <w:szCs w:val="32"/>
        </w:rPr>
        <w:t>万元，主要包括基本工资</w:t>
      </w:r>
      <w:r>
        <w:rPr>
          <w:rFonts w:hint="eastAsia" w:ascii="仿宋_GB2312" w:hAnsi="仿宋_GB2312" w:eastAsia="仿宋_GB2312" w:cs="仿宋_GB2312"/>
          <w:sz w:val="32"/>
          <w:szCs w:val="32"/>
          <w:lang w:val="en-US" w:eastAsia="zh-CN"/>
        </w:rPr>
        <w:t>34.20</w:t>
      </w:r>
      <w:r>
        <w:rPr>
          <w:rFonts w:hint="eastAsia" w:ascii="仿宋_GB2312" w:hAnsi="仿宋_GB2312" w:eastAsia="仿宋_GB2312" w:cs="仿宋_GB2312"/>
          <w:sz w:val="32"/>
          <w:szCs w:val="32"/>
        </w:rPr>
        <w:t>万元，津贴补贴</w:t>
      </w:r>
      <w:r>
        <w:rPr>
          <w:rFonts w:hint="eastAsia" w:ascii="仿宋_GB2312" w:hAnsi="仿宋_GB2312" w:eastAsia="仿宋_GB2312" w:cs="仿宋_GB2312"/>
          <w:sz w:val="32"/>
          <w:szCs w:val="32"/>
          <w:lang w:val="en-US" w:eastAsia="zh-CN"/>
        </w:rPr>
        <w:t>27.43</w:t>
      </w:r>
      <w:r>
        <w:rPr>
          <w:rFonts w:hint="eastAsia" w:ascii="仿宋_GB2312" w:hAnsi="仿宋_GB2312" w:eastAsia="仿宋_GB2312" w:cs="仿宋_GB2312"/>
          <w:sz w:val="32"/>
          <w:szCs w:val="32"/>
        </w:rPr>
        <w:t>万元、奖金</w:t>
      </w:r>
      <w:r>
        <w:rPr>
          <w:rFonts w:hint="eastAsia" w:ascii="仿宋_GB2312" w:hAnsi="仿宋_GB2312" w:eastAsia="仿宋_GB2312" w:cs="仿宋_GB2312"/>
          <w:sz w:val="32"/>
          <w:szCs w:val="32"/>
          <w:lang w:val="en-US" w:eastAsia="zh-CN"/>
        </w:rPr>
        <w:t>12.47</w:t>
      </w:r>
      <w:r>
        <w:rPr>
          <w:rFonts w:hint="eastAsia" w:ascii="仿宋_GB2312" w:hAnsi="仿宋_GB2312" w:eastAsia="仿宋_GB2312" w:cs="仿宋_GB2312"/>
          <w:sz w:val="32"/>
          <w:szCs w:val="32"/>
        </w:rPr>
        <w:t>万元、伙食补助费1.8</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万元、绩效工资</w:t>
      </w:r>
      <w:r>
        <w:rPr>
          <w:rFonts w:hint="eastAsia" w:ascii="仿宋_GB2312" w:hAnsi="仿宋_GB2312" w:eastAsia="仿宋_GB2312" w:cs="仿宋_GB2312"/>
          <w:sz w:val="32"/>
          <w:szCs w:val="32"/>
          <w:lang w:val="en-US" w:eastAsia="zh-CN"/>
        </w:rPr>
        <w:t>8.53</w:t>
      </w:r>
      <w:r>
        <w:rPr>
          <w:rFonts w:hint="eastAsia" w:ascii="仿宋_GB2312" w:hAnsi="仿宋_GB2312" w:eastAsia="仿宋_GB2312" w:cs="仿宋_GB2312"/>
          <w:sz w:val="32"/>
          <w:szCs w:val="32"/>
        </w:rPr>
        <w:t>万元、机关事业单位基本养老保险缴费</w:t>
      </w:r>
      <w:r>
        <w:rPr>
          <w:rFonts w:hint="eastAsia" w:ascii="仿宋_GB2312" w:hAnsi="仿宋_GB2312" w:eastAsia="仿宋_GB2312" w:cs="仿宋_GB2312"/>
          <w:sz w:val="32"/>
          <w:szCs w:val="32"/>
          <w:lang w:val="en-US" w:eastAsia="zh-CN"/>
        </w:rPr>
        <w:t>9.12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职工基本医疗保险费4.01、</w:t>
      </w:r>
      <w:r>
        <w:rPr>
          <w:rFonts w:hint="eastAsia" w:ascii="仿宋_GB2312" w:hAnsi="仿宋_GB2312" w:eastAsia="仿宋_GB2312" w:cs="仿宋_GB2312"/>
          <w:sz w:val="32"/>
          <w:szCs w:val="32"/>
        </w:rPr>
        <w:t>其他社会保障缴费</w:t>
      </w:r>
      <w:r>
        <w:rPr>
          <w:rFonts w:hint="eastAsia" w:ascii="仿宋_GB2312" w:hAnsi="仿宋_GB2312" w:eastAsia="仿宋_GB2312" w:cs="仿宋_GB2312"/>
          <w:sz w:val="32"/>
          <w:szCs w:val="32"/>
          <w:lang w:val="en-US" w:eastAsia="zh-CN"/>
        </w:rPr>
        <w:t>0.09</w:t>
      </w:r>
      <w:r>
        <w:rPr>
          <w:rFonts w:hint="eastAsia" w:ascii="仿宋_GB2312" w:hAnsi="仿宋_GB2312" w:eastAsia="仿宋_GB2312" w:cs="仿宋_GB2312"/>
          <w:sz w:val="32"/>
          <w:szCs w:val="32"/>
        </w:rPr>
        <w:t>万元、住房公积金</w:t>
      </w:r>
      <w:r>
        <w:rPr>
          <w:rFonts w:hint="eastAsia" w:ascii="仿宋_GB2312" w:hAnsi="仿宋_GB2312" w:eastAsia="仿宋_GB2312" w:cs="仿宋_GB2312"/>
          <w:sz w:val="32"/>
          <w:szCs w:val="32"/>
          <w:lang w:val="en-US" w:eastAsia="zh-CN"/>
        </w:rPr>
        <w:t>10.21</w:t>
      </w:r>
      <w:r>
        <w:rPr>
          <w:rFonts w:hint="eastAsia" w:ascii="仿宋_GB2312" w:hAnsi="仿宋_GB2312" w:eastAsia="仿宋_GB2312" w:cs="仿宋_GB2312"/>
          <w:sz w:val="32"/>
          <w:szCs w:val="32"/>
        </w:rPr>
        <w:t>万元。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公用经费</w:t>
      </w:r>
      <w:r>
        <w:rPr>
          <w:rFonts w:hint="eastAsia" w:ascii="仿宋_GB2312" w:hAnsi="仿宋_GB2312" w:eastAsia="仿宋_GB2312" w:cs="仿宋_GB2312"/>
          <w:sz w:val="32"/>
          <w:szCs w:val="32"/>
          <w:lang w:val="en-US" w:eastAsia="zh-CN"/>
        </w:rPr>
        <w:t>9.26</w:t>
      </w:r>
      <w:r>
        <w:rPr>
          <w:rFonts w:hint="eastAsia" w:ascii="仿宋_GB2312" w:hAnsi="仿宋_GB2312" w:eastAsia="仿宋_GB2312" w:cs="仿宋_GB2312"/>
          <w:sz w:val="32"/>
          <w:szCs w:val="32"/>
        </w:rPr>
        <w:t>万元，主要包括办公费</w:t>
      </w:r>
      <w:r>
        <w:rPr>
          <w:rFonts w:hint="eastAsia" w:ascii="仿宋_GB2312" w:hAnsi="仿宋_GB2312" w:eastAsia="仿宋_GB2312" w:cs="仿宋_GB2312"/>
          <w:sz w:val="32"/>
          <w:szCs w:val="32"/>
          <w:lang w:val="en-US" w:eastAsia="zh-CN"/>
        </w:rPr>
        <w:t>0.57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手续费0.01</w:t>
      </w:r>
      <w:r>
        <w:rPr>
          <w:rFonts w:hint="eastAsia" w:ascii="仿宋_GB2312" w:hAnsi="仿宋_GB2312" w:eastAsia="仿宋_GB2312" w:cs="仿宋_GB2312"/>
          <w:sz w:val="32"/>
          <w:szCs w:val="32"/>
        </w:rPr>
        <w:t>万元、水费0.</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万元、邮电费</w:t>
      </w:r>
      <w:r>
        <w:rPr>
          <w:rFonts w:hint="eastAsia" w:ascii="仿宋_GB2312" w:hAnsi="仿宋_GB2312" w:eastAsia="仿宋_GB2312" w:cs="仿宋_GB2312"/>
          <w:sz w:val="32"/>
          <w:szCs w:val="32"/>
          <w:lang w:val="en-US" w:eastAsia="zh-CN"/>
        </w:rPr>
        <w:t>2.05</w:t>
      </w:r>
      <w:r>
        <w:rPr>
          <w:rFonts w:hint="eastAsia" w:ascii="仿宋_GB2312" w:hAnsi="仿宋_GB2312" w:eastAsia="仿宋_GB2312" w:cs="仿宋_GB2312"/>
          <w:sz w:val="32"/>
          <w:szCs w:val="32"/>
        </w:rPr>
        <w:t>万元、差旅费0.5</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万元、公务接待费0.</w:t>
      </w: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万元、工会经费1.</w:t>
      </w:r>
      <w:r>
        <w:rPr>
          <w:rFonts w:hint="eastAsia" w:ascii="仿宋_GB2312" w:hAnsi="仿宋_GB2312" w:eastAsia="仿宋_GB2312" w:cs="仿宋_GB2312"/>
          <w:sz w:val="32"/>
          <w:szCs w:val="32"/>
          <w:lang w:val="en-US" w:eastAsia="zh-CN"/>
        </w:rPr>
        <w:t>98</w:t>
      </w:r>
      <w:r>
        <w:rPr>
          <w:rFonts w:hint="eastAsia" w:ascii="仿宋_GB2312" w:hAnsi="仿宋_GB2312" w:eastAsia="仿宋_GB2312" w:cs="仿宋_GB2312"/>
          <w:sz w:val="32"/>
          <w:szCs w:val="32"/>
        </w:rPr>
        <w:t>万元、其他交通费用</w:t>
      </w:r>
      <w:r>
        <w:rPr>
          <w:rFonts w:hint="eastAsia" w:ascii="仿宋_GB2312" w:hAnsi="仿宋_GB2312" w:eastAsia="仿宋_GB2312" w:cs="仿宋_GB2312"/>
          <w:sz w:val="32"/>
          <w:szCs w:val="32"/>
          <w:lang w:val="en-US" w:eastAsia="zh-CN"/>
        </w:rPr>
        <w:t>3.52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办公设备购置0.14万元</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七、一般公共预算财政拨款“三公”经费及会议费、培训费支出决算情况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pPr>
      <w:r>
        <w:rPr>
          <w:rFonts w:ascii="楷体_GB2312" w:hAnsi="宋体" w:eastAsia="楷体_GB2312" w:cs="楷体_GB2312"/>
          <w:b/>
          <w:color w:val="000000"/>
          <w:kern w:val="0"/>
          <w:sz w:val="32"/>
          <w:szCs w:val="32"/>
          <w:lang w:bidi="ar"/>
        </w:rPr>
        <w:t>（一）“三公”经费财政拨款支出决算总体情况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pPr>
      <w:r>
        <w:rPr>
          <w:rFonts w:ascii="仿宋_GB2312" w:hAnsi="宋体" w:eastAsia="仿宋_GB2312" w:cs="仿宋_GB2312"/>
          <w:color w:val="000000"/>
          <w:kern w:val="0"/>
          <w:sz w:val="32"/>
          <w:szCs w:val="32"/>
          <w:lang w:bidi="ar"/>
        </w:rPr>
        <w:t>20</w:t>
      </w:r>
      <w:r>
        <w:rPr>
          <w:rFonts w:hint="eastAsia" w:ascii="仿宋_GB2312" w:hAnsi="宋体" w:eastAsia="仿宋_GB2312" w:cs="仿宋_GB2312"/>
          <w:color w:val="000000"/>
          <w:kern w:val="0"/>
          <w:sz w:val="32"/>
          <w:szCs w:val="32"/>
          <w:lang w:val="en-US" w:eastAsia="zh-CN" w:bidi="ar"/>
        </w:rPr>
        <w:t>20</w:t>
      </w:r>
      <w:r>
        <w:rPr>
          <w:rFonts w:ascii="仿宋_GB2312" w:hAnsi="宋体" w:eastAsia="仿宋_GB2312" w:cs="仿宋_GB2312"/>
          <w:color w:val="000000"/>
          <w:kern w:val="0"/>
          <w:sz w:val="32"/>
          <w:szCs w:val="32"/>
          <w:lang w:bidi="ar"/>
        </w:rPr>
        <w:t>年“三公”经费财政拨款支出预算为</w:t>
      </w:r>
      <w:r>
        <w:rPr>
          <w:rFonts w:hint="eastAsia" w:ascii="仿宋_GB2312" w:hAnsi="宋体" w:eastAsia="仿宋_GB2312" w:cs="仿宋_GB2312"/>
          <w:color w:val="000000"/>
          <w:kern w:val="0"/>
          <w:sz w:val="32"/>
          <w:szCs w:val="32"/>
          <w:lang w:val="en-US" w:eastAsia="zh-CN" w:bidi="ar"/>
        </w:rPr>
        <w:t>0.60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0.34</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56.67</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0.26</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val="en-US" w:eastAsia="zh-CN" w:bidi="ar"/>
        </w:rPr>
        <w:t>本单位无公车，未支出公务用车运行维护费用</w:t>
      </w:r>
      <w:r>
        <w:rPr>
          <w:rFonts w:hint="eastAsia" w:ascii="仿宋_GB2312" w:hAnsi="宋体" w:eastAsia="仿宋_GB2312" w:cs="仿宋_GB2312"/>
          <w:color w:val="000000"/>
          <w:kern w:val="0"/>
          <w:sz w:val="32"/>
          <w:szCs w:val="32"/>
          <w:lang w:bidi="ar"/>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eastAsia="zh-CN" w:bidi="ar"/>
        </w:rPr>
        <w:t>（二）</w:t>
      </w:r>
      <w:r>
        <w:rPr>
          <w:rFonts w:ascii="楷体_GB2312" w:hAnsi="宋体" w:eastAsia="楷体_GB2312" w:cs="楷体_GB2312"/>
          <w:b/>
          <w:color w:val="000000"/>
          <w:kern w:val="0"/>
          <w:sz w:val="32"/>
          <w:szCs w:val="32"/>
          <w:lang w:bidi="ar"/>
        </w:rPr>
        <w:t>“三公”经费财政拨款支出决算具体情况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pPr>
      <w:r>
        <w:rPr>
          <w:rFonts w:ascii="仿宋_GB2312" w:hAnsi="宋体" w:eastAsia="仿宋_GB2312" w:cs="仿宋_GB2312"/>
          <w:color w:val="000000"/>
          <w:kern w:val="0"/>
          <w:sz w:val="32"/>
          <w:szCs w:val="32"/>
          <w:lang w:bidi="ar"/>
        </w:rPr>
        <w:t>20</w:t>
      </w:r>
      <w:r>
        <w:rPr>
          <w:rFonts w:hint="eastAsia" w:ascii="仿宋_GB2312" w:hAnsi="宋体" w:eastAsia="仿宋_GB2312" w:cs="仿宋_GB2312"/>
          <w:color w:val="000000"/>
          <w:kern w:val="0"/>
          <w:sz w:val="32"/>
          <w:szCs w:val="32"/>
          <w:lang w:val="en-US" w:eastAsia="zh-CN" w:bidi="ar"/>
        </w:rPr>
        <w:t>20</w:t>
      </w:r>
      <w:r>
        <w:rPr>
          <w:rFonts w:ascii="仿宋_GB2312" w:hAnsi="宋体" w:eastAsia="仿宋_GB2312" w:cs="仿宋_GB2312"/>
          <w:color w:val="000000"/>
          <w:kern w:val="0"/>
          <w:sz w:val="32"/>
          <w:szCs w:val="32"/>
          <w:lang w:bidi="ar"/>
        </w:rPr>
        <w:t>年“三公”经费财政拨款支出决算中，因公出国（境）费支出决算</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%；公务用车购置</w:t>
      </w:r>
      <w:r>
        <w:rPr>
          <w:rFonts w:hint="eastAsia" w:ascii="仿宋_GB2312" w:hAnsi="宋体" w:eastAsia="仿宋_GB2312" w:cs="仿宋_GB2312"/>
          <w:color w:val="000000"/>
          <w:kern w:val="0"/>
          <w:sz w:val="32"/>
          <w:szCs w:val="32"/>
          <w:lang w:bidi="ar"/>
        </w:rPr>
        <w:t>费支出</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%；公务用车运行</w:t>
      </w:r>
      <w:r>
        <w:rPr>
          <w:rFonts w:hint="eastAsia" w:ascii="仿宋_GB2312" w:hAnsi="仿宋" w:eastAsia="仿宋_GB2312"/>
          <w:sz w:val="32"/>
          <w:szCs w:val="32"/>
        </w:rPr>
        <w:t>维护</w:t>
      </w:r>
      <w:r>
        <w:rPr>
          <w:rFonts w:ascii="仿宋_GB2312" w:hAnsi="宋体" w:eastAsia="仿宋_GB2312" w:cs="仿宋_GB2312"/>
          <w:color w:val="000000"/>
          <w:kern w:val="0"/>
          <w:sz w:val="32"/>
          <w:szCs w:val="32"/>
          <w:lang w:bidi="ar"/>
        </w:rPr>
        <w:t>费支出决算</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%；公务接待费支出决算</w:t>
      </w:r>
      <w:r>
        <w:rPr>
          <w:rFonts w:hint="eastAsia" w:ascii="仿宋_GB2312" w:hAnsi="宋体" w:eastAsia="仿宋_GB2312" w:cs="仿宋_GB2312"/>
          <w:color w:val="000000"/>
          <w:kern w:val="0"/>
          <w:sz w:val="32"/>
          <w:szCs w:val="32"/>
          <w:lang w:val="en-US" w:eastAsia="zh-CN" w:bidi="ar"/>
        </w:rPr>
        <w:t>0.34</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100</w:t>
      </w:r>
      <w:r>
        <w:rPr>
          <w:rFonts w:ascii="仿宋_GB2312" w:hAnsi="宋体" w:eastAsia="仿宋_GB2312" w:cs="仿宋_GB2312"/>
          <w:color w:val="000000"/>
          <w:kern w:val="0"/>
          <w:sz w:val="32"/>
          <w:szCs w:val="32"/>
          <w:lang w:bidi="ar"/>
        </w:rPr>
        <w:t>%。具体情况如下：</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b/>
          <w:bCs/>
          <w:sz w:val="32"/>
          <w:szCs w:val="32"/>
        </w:rPr>
      </w:pPr>
      <w:r>
        <w:rPr>
          <w:rFonts w:hint="eastAsia" w:ascii="仿宋_GB2312" w:hAnsi="仿宋" w:eastAsia="仿宋_GB2312"/>
          <w:b/>
          <w:bCs/>
          <w:sz w:val="32"/>
          <w:szCs w:val="32"/>
        </w:rPr>
        <w:t>1.因公出国（境）支出情况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spacing w:line="560" w:lineRule="exact"/>
        <w:ind w:firstLine="640" w:firstLineChars="200"/>
      </w:pP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年因公出国（境）团组</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个，</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人次，</w:t>
      </w:r>
      <w:r>
        <w:rPr>
          <w:rFonts w:ascii="仿宋_GB2312" w:hAnsi="宋体" w:eastAsia="仿宋_GB2312" w:cs="仿宋_GB2312"/>
          <w:color w:val="000000"/>
          <w:kern w:val="0"/>
          <w:sz w:val="32"/>
          <w:szCs w:val="32"/>
          <w:lang w:bidi="ar"/>
        </w:rPr>
        <w:t>预算为0万元，支出决算为0万元，决算数</w:t>
      </w:r>
      <w:r>
        <w:rPr>
          <w:rFonts w:hint="eastAsia" w:ascii="仿宋_GB2312" w:hAnsi="宋体" w:eastAsia="仿宋_GB2312" w:cs="仿宋_GB2312"/>
          <w:color w:val="000000"/>
          <w:kern w:val="0"/>
          <w:sz w:val="32"/>
          <w:szCs w:val="32"/>
          <w:lang w:bidi="ar"/>
        </w:rPr>
        <w:t>与</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持平。</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b/>
          <w:bCs/>
          <w:sz w:val="32"/>
          <w:szCs w:val="32"/>
        </w:rPr>
      </w:pPr>
      <w:r>
        <w:rPr>
          <w:rFonts w:hint="eastAsia" w:ascii="仿宋_GB2312" w:hAnsi="仿宋" w:eastAsia="仿宋_GB2312"/>
          <w:b/>
          <w:bCs/>
          <w:sz w:val="32"/>
          <w:szCs w:val="32"/>
        </w:rPr>
        <w:t>2.公务用车购置费用支出情况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pP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bidi="ar"/>
        </w:rPr>
        <w:t>决</w:t>
      </w:r>
      <w:r>
        <w:rPr>
          <w:rFonts w:ascii="仿宋_GB2312" w:hAnsi="宋体" w:eastAsia="仿宋_GB2312" w:cs="仿宋_GB2312"/>
          <w:color w:val="000000"/>
          <w:kern w:val="0"/>
          <w:sz w:val="32"/>
          <w:szCs w:val="32"/>
          <w:lang w:bidi="ar"/>
        </w:rPr>
        <w:t>算数</w:t>
      </w:r>
      <w:r>
        <w:rPr>
          <w:rFonts w:hint="eastAsia" w:ascii="仿宋_GB2312" w:hAnsi="宋体" w:eastAsia="仿宋_GB2312" w:cs="仿宋_GB2312"/>
          <w:color w:val="000000"/>
          <w:kern w:val="0"/>
          <w:sz w:val="32"/>
          <w:szCs w:val="32"/>
          <w:lang w:bidi="ar"/>
        </w:rPr>
        <w:t>与</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持平。</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b/>
          <w:bCs/>
          <w:sz w:val="32"/>
          <w:szCs w:val="32"/>
        </w:rPr>
      </w:pPr>
      <w:r>
        <w:rPr>
          <w:rFonts w:hint="eastAsia" w:ascii="仿宋_GB2312" w:hAnsi="仿宋" w:eastAsia="仿宋_GB2312"/>
          <w:b/>
          <w:bCs/>
          <w:sz w:val="32"/>
          <w:szCs w:val="32"/>
        </w:rPr>
        <w:t>3.公务用车运行维护费用支出情况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pP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w:t>
      </w:r>
      <w:r>
        <w:rPr>
          <w:rFonts w:hint="eastAsia" w:ascii="仿宋_GB2312" w:hAnsi="仿宋_GB2312" w:eastAsia="仿宋_GB2312" w:cs="仿宋_GB2312"/>
          <w:sz w:val="32"/>
          <w:szCs w:val="32"/>
        </w:rPr>
        <w:t>公务用车运行维护费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0.26</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%，决</w:t>
      </w:r>
      <w:r>
        <w:rPr>
          <w:rFonts w:ascii="仿宋_GB2312" w:hAnsi="宋体" w:eastAsia="仿宋_GB2312" w:cs="仿宋_GB2312"/>
          <w:color w:val="000000"/>
          <w:kern w:val="0"/>
          <w:sz w:val="32"/>
          <w:szCs w:val="32"/>
          <w:lang w:bidi="ar"/>
        </w:rPr>
        <w:t>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0.26</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val="en-US" w:eastAsia="zh-CN" w:bidi="ar"/>
        </w:rPr>
        <w:t>本单位无公车，未支出公务用车运行维护费用</w:t>
      </w:r>
      <w:r>
        <w:rPr>
          <w:rFonts w:hint="eastAsia" w:ascii="仿宋_GB2312" w:hAnsi="宋体" w:eastAsia="仿宋_GB2312" w:cs="仿宋_GB2312"/>
          <w:color w:val="000000"/>
          <w:kern w:val="0"/>
          <w:sz w:val="32"/>
          <w:szCs w:val="32"/>
          <w:lang w:bidi="ar"/>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sz w:val="32"/>
          <w:szCs w:val="32"/>
        </w:rPr>
      </w:pPr>
      <w:r>
        <w:rPr>
          <w:rFonts w:hint="eastAsia" w:ascii="仿宋_GB2312" w:hAnsi="仿宋" w:eastAsia="仿宋_GB2312"/>
          <w:b/>
          <w:bCs/>
          <w:sz w:val="32"/>
          <w:szCs w:val="32"/>
        </w:rPr>
        <w:t>4.公务接待费支出情况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年公务接待</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批次，</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人次，</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0.34</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0.34</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100</w:t>
      </w:r>
      <w:r>
        <w:rPr>
          <w:rFonts w:hint="eastAsia" w:ascii="仿宋_GB2312" w:hAnsi="宋体" w:eastAsia="仿宋_GB2312" w:cs="仿宋_GB2312"/>
          <w:color w:val="000000"/>
          <w:kern w:val="0"/>
          <w:sz w:val="32"/>
          <w:szCs w:val="32"/>
          <w:lang w:bidi="ar"/>
        </w:rPr>
        <w:t>%，决</w:t>
      </w:r>
      <w:r>
        <w:rPr>
          <w:rFonts w:ascii="仿宋_GB2312" w:hAnsi="宋体" w:eastAsia="仿宋_GB2312" w:cs="仿宋_GB2312"/>
          <w:color w:val="000000"/>
          <w:kern w:val="0"/>
          <w:sz w:val="32"/>
          <w:szCs w:val="32"/>
          <w:lang w:bidi="ar"/>
        </w:rPr>
        <w:t>算数</w:t>
      </w:r>
      <w:r>
        <w:rPr>
          <w:rFonts w:hint="eastAsia" w:ascii="仿宋_GB2312" w:hAnsi="宋体" w:eastAsia="仿宋_GB2312" w:cs="仿宋_GB2312"/>
          <w:color w:val="000000"/>
          <w:kern w:val="0"/>
          <w:sz w:val="32"/>
          <w:szCs w:val="32"/>
          <w:lang w:bidi="ar"/>
        </w:rPr>
        <w:t>与</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持平。</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（三）培训费支出情况</w:t>
      </w:r>
      <w:r>
        <w:rPr>
          <w:rFonts w:hint="eastAsia" w:ascii="楷体_GB2312" w:hAnsi="宋体" w:eastAsia="楷体_GB2312" w:cs="楷体_GB2312"/>
          <w:b/>
          <w:color w:val="000000"/>
          <w:kern w:val="0"/>
          <w:sz w:val="32"/>
          <w:szCs w:val="32"/>
          <w:lang w:eastAsia="zh-CN" w:bidi="ar"/>
        </w:rPr>
        <w:t>说明</w:t>
      </w:r>
      <w:r>
        <w:rPr>
          <w:rFonts w:hint="eastAsia" w:ascii="楷体_GB2312" w:hAnsi="宋体" w:eastAsia="楷体_GB2312" w:cs="楷体_GB2312"/>
          <w:b/>
          <w:color w:val="000000"/>
          <w:kern w:val="0"/>
          <w:sz w:val="32"/>
          <w:szCs w:val="32"/>
          <w:lang w:bidi="ar"/>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w:t>
      </w:r>
      <w:r>
        <w:rPr>
          <w:rFonts w:hint="eastAsia" w:ascii="仿宋_GB2312" w:hAnsi="仿宋_GB2312" w:eastAsia="仿宋_GB2312" w:cs="仿宋_GB2312"/>
          <w:sz w:val="32"/>
          <w:szCs w:val="32"/>
        </w:rPr>
        <w:t>培训费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2.50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2.5</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val="en-US" w:eastAsia="zh-CN" w:bidi="ar"/>
        </w:rPr>
        <w:t>因新冠肺炎疫情影响，减少外出培训，节约培训费用</w:t>
      </w:r>
      <w:r>
        <w:rPr>
          <w:rFonts w:hint="eastAsia" w:ascii="仿宋_GB2312" w:hAnsi="宋体" w:eastAsia="仿宋_GB2312" w:cs="仿宋_GB2312"/>
          <w:color w:val="000000"/>
          <w:kern w:val="0"/>
          <w:sz w:val="32"/>
          <w:szCs w:val="32"/>
          <w:lang w:bidi="ar"/>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（四）会议费支出情况</w:t>
      </w:r>
      <w:r>
        <w:rPr>
          <w:rFonts w:hint="eastAsia" w:ascii="楷体_GB2312" w:hAnsi="宋体" w:eastAsia="楷体_GB2312" w:cs="楷体_GB2312"/>
          <w:b/>
          <w:color w:val="000000"/>
          <w:kern w:val="0"/>
          <w:sz w:val="32"/>
          <w:szCs w:val="32"/>
          <w:lang w:eastAsia="zh-CN" w:bidi="ar"/>
        </w:rPr>
        <w:t>说明</w:t>
      </w:r>
      <w:r>
        <w:rPr>
          <w:rFonts w:hint="eastAsia" w:ascii="楷体_GB2312" w:hAnsi="宋体" w:eastAsia="楷体_GB2312" w:cs="楷体_GB2312"/>
          <w:b/>
          <w:color w:val="000000"/>
          <w:kern w:val="0"/>
          <w:sz w:val="32"/>
          <w:szCs w:val="32"/>
          <w:lang w:bidi="ar"/>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w:t>
      </w:r>
      <w:r>
        <w:rPr>
          <w:rFonts w:hint="eastAsia" w:ascii="仿宋_GB2312" w:hAnsi="仿宋_GB2312" w:eastAsia="仿宋_GB2312" w:cs="仿宋_GB2312"/>
          <w:sz w:val="32"/>
          <w:szCs w:val="32"/>
        </w:rPr>
        <w:t>会议费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bidi="ar"/>
        </w:rPr>
        <w:t>决</w:t>
      </w:r>
      <w:r>
        <w:rPr>
          <w:rFonts w:ascii="仿宋_GB2312" w:hAnsi="宋体" w:eastAsia="仿宋_GB2312" w:cs="仿宋_GB2312"/>
          <w:color w:val="000000"/>
          <w:kern w:val="0"/>
          <w:sz w:val="32"/>
          <w:szCs w:val="32"/>
          <w:lang w:bidi="ar"/>
        </w:rPr>
        <w:t>算数</w:t>
      </w:r>
      <w:r>
        <w:rPr>
          <w:rFonts w:hint="eastAsia" w:ascii="仿宋_GB2312" w:hAnsi="宋体" w:eastAsia="仿宋_GB2312" w:cs="仿宋_GB2312"/>
          <w:color w:val="000000"/>
          <w:kern w:val="0"/>
          <w:sz w:val="32"/>
          <w:szCs w:val="32"/>
          <w:lang w:bidi="ar"/>
        </w:rPr>
        <w:t>与</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持平。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八、政府性基金预算财政拨款收入支出情况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本部门无政府性基金决算收支，并已公开空表</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九、国有资本经营财政拨款收</w:t>
      </w:r>
      <w:r>
        <w:rPr>
          <w:rFonts w:hint="eastAsia" w:ascii="黑体" w:hAnsi="黑体" w:eastAsia="黑体"/>
          <w:color w:val="000000"/>
          <w:kern w:val="0"/>
          <w:sz w:val="32"/>
          <w:szCs w:val="32"/>
          <w:lang w:eastAsia="zh-CN" w:bidi="ar"/>
        </w:rPr>
        <w:t>入</w:t>
      </w:r>
      <w:r>
        <w:rPr>
          <w:rFonts w:hint="eastAsia" w:ascii="黑体" w:hAnsi="黑体" w:eastAsia="黑体"/>
          <w:color w:val="000000"/>
          <w:kern w:val="0"/>
          <w:sz w:val="32"/>
          <w:szCs w:val="32"/>
          <w:lang w:bidi="ar"/>
        </w:rPr>
        <w:t>支</w:t>
      </w:r>
      <w:r>
        <w:rPr>
          <w:rFonts w:hint="eastAsia" w:ascii="黑体" w:hAnsi="黑体" w:eastAsia="黑体"/>
          <w:color w:val="000000"/>
          <w:kern w:val="0"/>
          <w:sz w:val="32"/>
          <w:szCs w:val="32"/>
          <w:lang w:eastAsia="zh-CN" w:bidi="ar"/>
        </w:rPr>
        <w:t>出</w:t>
      </w:r>
      <w:r>
        <w:rPr>
          <w:rFonts w:hint="eastAsia" w:ascii="黑体" w:hAnsi="黑体" w:eastAsia="黑体"/>
          <w:color w:val="000000"/>
          <w:kern w:val="0"/>
          <w:sz w:val="32"/>
          <w:szCs w:val="32"/>
          <w:lang w:bidi="ar"/>
        </w:rPr>
        <w:t>情况</w:t>
      </w:r>
      <w:r>
        <w:rPr>
          <w:rFonts w:hint="eastAsia" w:ascii="黑体" w:hAnsi="黑体" w:eastAsia="黑体"/>
          <w:color w:val="000000"/>
          <w:kern w:val="0"/>
          <w:sz w:val="32"/>
          <w:szCs w:val="32"/>
          <w:lang w:eastAsia="zh-CN" w:bidi="ar"/>
        </w:rPr>
        <w:t>说明</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本部门无国有资本经营决算拨款收支</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olor w:val="000000"/>
          <w:kern w:val="0"/>
          <w:sz w:val="32"/>
          <w:szCs w:val="32"/>
          <w:lang w:bidi="ar"/>
        </w:rPr>
      </w:pPr>
      <w:r>
        <w:rPr>
          <w:rFonts w:hint="eastAsia" w:ascii="黑体" w:hAnsi="黑体" w:eastAsia="黑体"/>
          <w:color w:val="000000"/>
          <w:kern w:val="0"/>
          <w:sz w:val="32"/>
          <w:szCs w:val="32"/>
          <w:lang w:val="en-US" w:eastAsia="zh-CN" w:bidi="ar"/>
        </w:rPr>
        <w:t>十、</w:t>
      </w:r>
      <w:r>
        <w:rPr>
          <w:rFonts w:hint="eastAsia" w:ascii="黑体" w:hAnsi="黑体" w:eastAsia="黑体"/>
          <w:color w:val="000000"/>
          <w:kern w:val="0"/>
          <w:sz w:val="32"/>
          <w:szCs w:val="32"/>
          <w:lang w:bidi="ar"/>
        </w:rPr>
        <w:t>机关运行经费支出情况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楷体"/>
          <w:color w:val="0000FF"/>
          <w:kern w:val="0"/>
          <w:sz w:val="32"/>
          <w:szCs w:val="32"/>
          <w:lang w:bidi="ar"/>
        </w:rPr>
      </w:pP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w:t>
      </w:r>
      <w:r>
        <w:rPr>
          <w:rFonts w:hint="eastAsia" w:ascii="仿宋_GB2312" w:hAnsi="仿宋_GB2312" w:eastAsia="仿宋_GB2312" w:cs="仿宋_GB2312"/>
          <w:sz w:val="32"/>
          <w:szCs w:val="32"/>
          <w:lang w:val="en-US" w:eastAsia="zh-CN"/>
        </w:rPr>
        <w:t>机关运行经费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7.4</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9.26</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125.14</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增加</w:t>
      </w:r>
      <w:r>
        <w:rPr>
          <w:rFonts w:hint="eastAsia" w:ascii="仿宋_GB2312" w:hAnsi="宋体" w:eastAsia="仿宋_GB2312" w:cs="仿宋_GB2312"/>
          <w:color w:val="000000"/>
          <w:kern w:val="0"/>
          <w:sz w:val="32"/>
          <w:szCs w:val="32"/>
          <w:lang w:val="en-US" w:eastAsia="zh-CN" w:bidi="ar"/>
        </w:rPr>
        <w:t>1.86</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bidi="ar"/>
        </w:rPr>
        <w:t>部门业务费用增加。</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olor w:val="000000"/>
          <w:kern w:val="0"/>
          <w:sz w:val="32"/>
          <w:szCs w:val="32"/>
          <w:lang w:val="en-US" w:eastAsia="zh-CN" w:bidi="ar"/>
        </w:rPr>
      </w:pPr>
      <w:r>
        <w:rPr>
          <w:rFonts w:hint="eastAsia" w:ascii="黑体" w:hAnsi="黑体" w:eastAsia="黑体"/>
          <w:color w:val="000000"/>
          <w:kern w:val="0"/>
          <w:sz w:val="32"/>
          <w:szCs w:val="32"/>
          <w:lang w:val="en-US" w:eastAsia="zh-CN" w:bidi="ar"/>
        </w:rPr>
        <w:t xml:space="preserve">十一、政府采购支出情况说明 </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本部门2</w:t>
      </w:r>
      <w:r>
        <w:rPr>
          <w:rFonts w:hint="eastAsia" w:ascii="仿宋_GB2312" w:hAnsi="仿宋_GB2312" w:eastAsia="仿宋_GB2312" w:cs="仿宋_GB2312"/>
          <w:sz w:val="32"/>
          <w:szCs w:val="32"/>
          <w:lang w:val="en-US" w:eastAsia="zh-CN"/>
        </w:rPr>
        <w:t>020</w:t>
      </w:r>
      <w:r>
        <w:rPr>
          <w:rFonts w:hint="eastAsia" w:ascii="仿宋_GB2312" w:hAnsi="仿宋_GB2312" w:eastAsia="仿宋_GB2312" w:cs="仿宋_GB2312"/>
          <w:sz w:val="32"/>
          <w:szCs w:val="32"/>
        </w:rPr>
        <w:t>年无政府采购支出</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000000"/>
          <w:kern w:val="0"/>
          <w:sz w:val="32"/>
          <w:szCs w:val="32"/>
          <w:lang w:bidi="ar"/>
        </w:rPr>
      </w:pPr>
      <w:r>
        <w:rPr>
          <w:rFonts w:hint="eastAsia" w:ascii="黑体" w:hAnsi="黑体" w:eastAsia="黑体"/>
          <w:color w:val="000000"/>
          <w:kern w:val="0"/>
          <w:sz w:val="32"/>
          <w:szCs w:val="32"/>
          <w:lang w:val="en-US" w:eastAsia="zh-CN" w:bidi="ar"/>
        </w:rPr>
        <w:t>十二、</w:t>
      </w:r>
      <w:r>
        <w:rPr>
          <w:rFonts w:hint="eastAsia" w:ascii="黑体" w:hAnsi="黑体" w:eastAsia="黑体"/>
          <w:color w:val="000000"/>
          <w:kern w:val="0"/>
          <w:sz w:val="32"/>
          <w:szCs w:val="32"/>
          <w:lang w:bidi="ar"/>
        </w:rPr>
        <w:t>国有资产占用及购置情况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截至20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年末，本部门机关及所属单位共有车辆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年当年购置车辆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辆；购置单价50万元以上的通用设备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台（套）；购置单价100万元以上的专用设备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000000"/>
          <w:kern w:val="0"/>
          <w:sz w:val="32"/>
          <w:szCs w:val="32"/>
          <w:lang w:bidi="ar"/>
        </w:rPr>
      </w:pPr>
      <w:r>
        <w:rPr>
          <w:rFonts w:hint="eastAsia" w:ascii="黑体" w:hAnsi="黑体" w:eastAsia="黑体"/>
          <w:color w:val="000000"/>
          <w:kern w:val="0"/>
          <w:sz w:val="32"/>
          <w:szCs w:val="32"/>
          <w:lang w:val="en-US" w:eastAsia="zh-CN" w:bidi="ar"/>
        </w:rPr>
        <w:t>十三、</w:t>
      </w:r>
      <w:r>
        <w:rPr>
          <w:rFonts w:hint="eastAsia" w:ascii="黑体" w:hAnsi="黑体" w:eastAsia="黑体"/>
          <w:color w:val="000000"/>
          <w:kern w:val="0"/>
          <w:sz w:val="32"/>
          <w:szCs w:val="32"/>
          <w:lang w:bidi="ar"/>
        </w:rPr>
        <w:t>预算绩效情况</w:t>
      </w:r>
      <w:r>
        <w:rPr>
          <w:rFonts w:hint="eastAsia" w:ascii="黑体" w:hAnsi="黑体" w:eastAsia="黑体"/>
          <w:color w:val="000000"/>
          <w:kern w:val="0"/>
          <w:sz w:val="32"/>
          <w:szCs w:val="32"/>
          <w:lang w:eastAsia="zh-CN" w:bidi="ar"/>
        </w:rPr>
        <w:t>说明</w:t>
      </w:r>
    </w:p>
    <w:p>
      <w:pPr>
        <w:keepNext w:val="0"/>
        <w:keepLines w:val="0"/>
        <w:pageBreakBefore w:val="0"/>
        <w:widowControl/>
        <w:kinsoku/>
        <w:wordWrap/>
        <w:overflowPunct/>
        <w:topLinePunct w:val="0"/>
        <w:autoSpaceDE/>
        <w:autoSpaceDN/>
        <w:bidi w:val="0"/>
        <w:adjustRightInd/>
        <w:snapToGrid/>
        <w:spacing w:line="560" w:lineRule="exact"/>
        <w:ind w:left="1281" w:leftChars="304" w:hanging="643" w:hangingChars="200"/>
        <w:jc w:val="left"/>
        <w:textAlignment w:val="auto"/>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（一）</w:t>
      </w:r>
      <w:r>
        <w:rPr>
          <w:rFonts w:ascii="楷体_GB2312" w:hAnsi="宋体" w:eastAsia="楷体_GB2312" w:cs="楷体_GB2312"/>
          <w:b/>
          <w:color w:val="000000"/>
          <w:kern w:val="0"/>
          <w:sz w:val="32"/>
          <w:szCs w:val="32"/>
          <w:lang w:bidi="ar"/>
        </w:rPr>
        <w:t>预算绩效管理工作开展情况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r>
        <w:rPr>
          <w:rFonts w:hint="eastAsia" w:ascii="楷体_GB2312" w:hAnsi="宋体" w:eastAsia="楷体_GB2312" w:cs="楷体_GB2312"/>
          <w:b/>
          <w:color w:val="000000"/>
          <w:kern w:val="0"/>
          <w:sz w:val="32"/>
          <w:szCs w:val="32"/>
          <w:lang w:bidi="ar"/>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pPr>
      <w:r>
        <w:rPr>
          <w:rFonts w:hint="eastAsia" w:ascii="仿宋_GB2312" w:hAnsi="仿宋_GB2312" w:eastAsia="仿宋_GB2312" w:cs="仿宋_GB2312"/>
          <w:sz w:val="32"/>
          <w:szCs w:val="32"/>
        </w:rPr>
        <w:t>根据预算绩效管理要求，本部门组织对 20</w:t>
      </w:r>
      <w:r>
        <w:rPr>
          <w:rFonts w:hint="eastAsia" w:ascii="仿宋_GB2312" w:hAnsi="仿宋_GB2312" w:eastAsia="仿宋_GB2312" w:cs="仿宋_GB2312"/>
          <w:sz w:val="32"/>
          <w:szCs w:val="32"/>
          <w:lang w:val="en-US" w:eastAsia="zh-CN"/>
        </w:rPr>
        <w:t>20</w:t>
      </w:r>
      <w:r>
        <w:rPr>
          <w:rFonts w:ascii="仿宋_GB2312" w:hAnsi="仿宋_GB2312" w:eastAsia="仿宋_GB2312" w:cs="仿宋_GB2312"/>
          <w:sz w:val="32"/>
          <w:szCs w:val="32"/>
        </w:rPr>
        <w:t>年一般公共预算项目支出全面开展绩效自评，其中，一级项目</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个，二级项目</w:t>
      </w:r>
      <w:r>
        <w:rPr>
          <w:rFonts w:hint="eastAsia" w:ascii="仿宋_GB2312" w:hAnsi="仿宋_GB2312" w:eastAsia="仿宋_GB2312" w:cs="仿宋_GB2312"/>
          <w:sz w:val="32"/>
          <w:szCs w:val="32"/>
          <w:lang w:val="en-US" w:eastAsia="zh-CN"/>
        </w:rPr>
        <w:t>3</w:t>
      </w:r>
      <w:r>
        <w:rPr>
          <w:rFonts w:ascii="仿宋_GB2312" w:hAnsi="仿宋_GB2312" w:eastAsia="仿宋_GB2312" w:cs="仿宋_GB2312"/>
          <w:sz w:val="32"/>
          <w:szCs w:val="32"/>
        </w:rPr>
        <w:t>个，共涉及资金</w:t>
      </w:r>
      <w:r>
        <w:rPr>
          <w:rFonts w:hint="eastAsia" w:ascii="仿宋_GB2312" w:hAnsi="仿宋_GB2312" w:eastAsia="仿宋_GB2312" w:cs="仿宋_GB2312"/>
          <w:sz w:val="32"/>
          <w:szCs w:val="32"/>
          <w:lang w:val="en-US" w:eastAsia="zh-CN"/>
        </w:rPr>
        <w:t>6.60</w:t>
      </w:r>
      <w:r>
        <w:rPr>
          <w:rFonts w:ascii="仿宋_GB2312" w:hAnsi="仿宋_GB2312" w:eastAsia="仿宋_GB2312" w:cs="仿宋_GB2312"/>
          <w:sz w:val="32"/>
          <w:szCs w:val="32"/>
        </w:rPr>
        <w:t>万元，占一般公共预算项目支出总额的</w:t>
      </w:r>
      <w:r>
        <w:rPr>
          <w:rFonts w:hint="eastAsia" w:ascii="仿宋_GB2312" w:hAnsi="仿宋_GB2312" w:eastAsia="仿宋_GB2312" w:cs="仿宋_GB2312"/>
          <w:sz w:val="32"/>
          <w:szCs w:val="32"/>
          <w:lang w:val="en-US" w:eastAsia="zh-CN"/>
        </w:rPr>
        <w:t>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本部门无政府性基金，</w:t>
      </w:r>
      <w:r>
        <w:rPr>
          <w:rFonts w:ascii="仿宋_GB2312" w:hAnsi="仿宋_GB2312" w:eastAsia="仿宋_GB2312" w:cs="仿宋_GB2312"/>
          <w:color w:val="000000"/>
          <w:kern w:val="0"/>
          <w:sz w:val="31"/>
          <w:szCs w:val="31"/>
          <w:lang w:bidi="ar"/>
        </w:rPr>
        <w:t>共涉及资金</w:t>
      </w:r>
      <w:r>
        <w:rPr>
          <w:rFonts w:hint="eastAsia" w:ascii="仿宋_GB2312" w:hAnsi="仿宋_GB2312" w:eastAsia="仿宋_GB2312" w:cs="仿宋_GB2312"/>
          <w:color w:val="000000"/>
          <w:kern w:val="0"/>
          <w:sz w:val="31"/>
          <w:szCs w:val="31"/>
          <w:lang w:val="en-US" w:eastAsia="zh-CN" w:bidi="ar"/>
        </w:rPr>
        <w:t>0</w:t>
      </w:r>
      <w:r>
        <w:rPr>
          <w:rFonts w:ascii="仿宋_GB2312" w:hAnsi="仿宋_GB2312" w:eastAsia="仿宋_GB2312" w:cs="仿宋_GB2312"/>
          <w:color w:val="000000"/>
          <w:kern w:val="0"/>
          <w:sz w:val="31"/>
          <w:szCs w:val="31"/>
          <w:lang w:bidi="ar"/>
        </w:rPr>
        <w:t>万元，</w:t>
      </w:r>
      <w:r>
        <w:rPr>
          <w:rFonts w:hint="eastAsia" w:ascii="仿宋_GB2312" w:hAnsi="仿宋_GB2312" w:eastAsia="仿宋_GB2312" w:cs="仿宋_GB2312"/>
          <w:sz w:val="32"/>
          <w:szCs w:val="32"/>
        </w:rPr>
        <w:t>因此不对预算项目支出开展绩效自评。</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部门决算中项目绩效自评结果。</w:t>
      </w:r>
    </w:p>
    <w:p>
      <w:pPr>
        <w:keepNext w:val="0"/>
        <w:keepLines w:val="0"/>
        <w:pageBreakBefore w:val="0"/>
        <w:widowControl w:val="0"/>
        <w:numPr>
          <w:ilvl w:val="0"/>
          <w:numId w:val="0"/>
        </w:numPr>
        <w:kinsoku/>
        <w:wordWrap/>
        <w:overflowPunct/>
        <w:topLinePunct w:val="0"/>
        <w:bidi w:val="0"/>
        <w:snapToGrid/>
        <w:spacing w:line="560" w:lineRule="exact"/>
        <w:ind w:right="0" w:rightChars="0" w:firstLine="62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1"/>
          <w:szCs w:val="31"/>
          <w:lang w:val="en-US" w:eastAsia="zh-CN" w:bidi="ar"/>
        </w:rPr>
        <w:t>民族宗教工作</w:t>
      </w:r>
      <w:r>
        <w:rPr>
          <w:rFonts w:ascii="仿宋_GB2312" w:hAnsi="仿宋_GB2312" w:eastAsia="仿宋_GB2312" w:cs="仿宋_GB2312"/>
          <w:color w:val="000000"/>
          <w:kern w:val="0"/>
          <w:sz w:val="31"/>
          <w:szCs w:val="31"/>
          <w:lang w:bidi="ar"/>
        </w:rPr>
        <w:t>项目绩效自评综述：根据年初设定的绩效目标，项目自评得分</w:t>
      </w:r>
      <w:r>
        <w:rPr>
          <w:rFonts w:hint="eastAsia" w:ascii="仿宋_GB2312" w:hAnsi="仿宋_GB2312" w:eastAsia="仿宋_GB2312" w:cs="仿宋_GB2312"/>
          <w:color w:val="000000"/>
          <w:kern w:val="0"/>
          <w:sz w:val="31"/>
          <w:szCs w:val="31"/>
          <w:lang w:val="en-US" w:eastAsia="zh-CN" w:bidi="ar"/>
        </w:rPr>
        <w:t>95</w:t>
      </w:r>
      <w:r>
        <w:rPr>
          <w:rFonts w:ascii="仿宋_GB2312" w:hAnsi="仿宋_GB2312" w:eastAsia="仿宋_GB2312" w:cs="仿宋_GB2312"/>
          <w:color w:val="000000"/>
          <w:kern w:val="0"/>
          <w:sz w:val="31"/>
          <w:szCs w:val="31"/>
          <w:lang w:bidi="ar"/>
        </w:rPr>
        <w:t>分。项目全年预算数</w:t>
      </w:r>
      <w:r>
        <w:rPr>
          <w:rFonts w:hint="eastAsia" w:ascii="仿宋_GB2312" w:hAnsi="仿宋_GB2312" w:eastAsia="仿宋_GB2312" w:cs="仿宋_GB2312"/>
          <w:color w:val="000000"/>
          <w:kern w:val="0"/>
          <w:sz w:val="31"/>
          <w:szCs w:val="31"/>
          <w:lang w:val="en-US" w:eastAsia="zh-CN" w:bidi="ar"/>
        </w:rPr>
        <w:t>10</w:t>
      </w:r>
      <w:r>
        <w:rPr>
          <w:rFonts w:ascii="仿宋_GB2312" w:hAnsi="仿宋_GB2312" w:eastAsia="仿宋_GB2312" w:cs="仿宋_GB2312"/>
          <w:color w:val="000000"/>
          <w:kern w:val="0"/>
          <w:sz w:val="31"/>
          <w:szCs w:val="31"/>
          <w:lang w:bidi="ar"/>
        </w:rPr>
        <w:t>万元，执行数</w:t>
      </w:r>
      <w:r>
        <w:rPr>
          <w:rFonts w:hint="eastAsia" w:ascii="仿宋_GB2312" w:hAnsi="仿宋_GB2312" w:eastAsia="仿宋_GB2312" w:cs="仿宋_GB2312"/>
          <w:color w:val="000000"/>
          <w:kern w:val="0"/>
          <w:sz w:val="31"/>
          <w:szCs w:val="31"/>
          <w:lang w:val="en-US" w:eastAsia="zh-CN" w:bidi="ar"/>
        </w:rPr>
        <w:t>6.49</w:t>
      </w:r>
      <w:r>
        <w:rPr>
          <w:rFonts w:ascii="仿宋_GB2312" w:hAnsi="仿宋_GB2312" w:eastAsia="仿宋_GB2312" w:cs="仿宋_GB2312"/>
          <w:color w:val="000000"/>
          <w:kern w:val="0"/>
          <w:sz w:val="31"/>
          <w:szCs w:val="31"/>
          <w:lang w:bidi="ar"/>
        </w:rPr>
        <w:t>万元，完成预算的</w:t>
      </w:r>
      <w:r>
        <w:rPr>
          <w:rFonts w:hint="eastAsia" w:ascii="仿宋_GB2312" w:hAnsi="仿宋_GB2312" w:eastAsia="仿宋_GB2312" w:cs="仿宋_GB2312"/>
          <w:color w:val="000000"/>
          <w:kern w:val="0"/>
          <w:sz w:val="31"/>
          <w:szCs w:val="31"/>
          <w:lang w:val="en-US" w:eastAsia="zh-CN" w:bidi="ar"/>
        </w:rPr>
        <w:t>64.90</w:t>
      </w:r>
      <w:r>
        <w:rPr>
          <w:rFonts w:ascii="仿宋_GB2312" w:hAnsi="仿宋_GB2312" w:eastAsia="仿宋_GB2312" w:cs="仿宋_GB2312"/>
          <w:color w:val="000000"/>
          <w:kern w:val="0"/>
          <w:sz w:val="31"/>
          <w:szCs w:val="31"/>
          <w:lang w:bidi="ar"/>
        </w:rPr>
        <w:t>%。主要产出和效果：通过项目实施</w:t>
      </w:r>
      <w:r>
        <w:rPr>
          <w:rFonts w:hint="eastAsia" w:ascii="仿宋_GB2312" w:hAnsi="仿宋_GB2312" w:eastAsia="仿宋_GB2312" w:cs="仿宋_GB2312"/>
          <w:color w:val="000000"/>
          <w:kern w:val="0"/>
          <w:sz w:val="31"/>
          <w:szCs w:val="31"/>
          <w:lang w:val="en-US" w:eastAsia="zh-CN" w:bidi="ar"/>
        </w:rPr>
        <w:t>民族团结宗教和顺呈现新局面。</w:t>
      </w:r>
      <w:r>
        <w:rPr>
          <w:rFonts w:hint="eastAsia" w:ascii="仿宋_GB2312" w:hAnsi="仿宋_GB2312" w:eastAsia="仿宋_GB2312" w:cs="仿宋_GB2312"/>
          <w:b/>
          <w:bCs/>
          <w:sz w:val="32"/>
          <w:szCs w:val="32"/>
          <w:lang w:val="en-US" w:eastAsia="zh-CN"/>
        </w:rPr>
        <w:t>一是</w:t>
      </w:r>
      <w:r>
        <w:rPr>
          <w:rFonts w:hint="eastAsia" w:ascii="仿宋" w:hAnsi="仿宋" w:eastAsia="仿宋" w:cs="仿宋"/>
          <w:b w:val="0"/>
          <w:bCs w:val="0"/>
          <w:sz w:val="32"/>
          <w:szCs w:val="32"/>
          <w:lang w:val="en-US" w:eastAsia="zh-CN"/>
        </w:rPr>
        <w:t>开展民族团结宣传工作，</w:t>
      </w:r>
      <w:r>
        <w:rPr>
          <w:rFonts w:hint="eastAsia" w:ascii="仿宋_GB2312" w:hAnsi="仿宋_GB2312" w:eastAsia="仿宋_GB2312" w:cs="仿宋_GB2312"/>
          <w:sz w:val="32"/>
          <w:szCs w:val="32"/>
          <w:lang w:val="en-US" w:eastAsia="zh-CN"/>
        </w:rPr>
        <w:t>为各宗教活动场所制作了民族团结进步宣传板18块，广泛宣传党和国家的民族政策和法律法规。二</w:t>
      </w:r>
      <w:r>
        <w:rPr>
          <w:rFonts w:hint="eastAsia" w:ascii="仿宋_GB2312" w:hAnsi="仿宋_GB2312" w:eastAsia="仿宋_GB2312" w:cs="仿宋_GB2312"/>
          <w:b/>
          <w:bCs/>
          <w:sz w:val="32"/>
          <w:szCs w:val="32"/>
          <w:lang w:val="en-US" w:eastAsia="zh-CN"/>
        </w:rPr>
        <w:t>是</w:t>
      </w:r>
      <w:r>
        <w:rPr>
          <w:rFonts w:hint="eastAsia" w:ascii="仿宋_GB2312" w:hAnsi="仿宋_GB2312" w:eastAsia="仿宋_GB2312" w:cs="仿宋_GB2312"/>
          <w:sz w:val="32"/>
          <w:szCs w:val="32"/>
          <w:lang w:val="en-US" w:eastAsia="zh-CN"/>
        </w:rPr>
        <w:t>联合市场监管局检查全区清真食品生产经营摊点、餐饮门店、企业，集中整治违规使用“清真”标识、使用阿拉伯文字和具有宗教含义图案进行室内装饰的摊点、门店20多个，有效规范了清真食品生产经营秩序。</w:t>
      </w:r>
      <w:r>
        <w:rPr>
          <w:rFonts w:hint="eastAsia" w:ascii="仿宋" w:hAnsi="仿宋" w:eastAsia="仿宋" w:cs="仿宋"/>
          <w:b/>
          <w:bCs/>
          <w:sz w:val="32"/>
          <w:szCs w:val="32"/>
          <w:lang w:val="en-US" w:eastAsia="zh-CN"/>
        </w:rPr>
        <w:t>三是</w:t>
      </w:r>
      <w:r>
        <w:rPr>
          <w:rFonts w:hint="eastAsia" w:ascii="仿宋_GB2312" w:hAnsi="仿宋_GB2312" w:eastAsia="仿宋_GB2312" w:cs="仿宋_GB2312"/>
          <w:sz w:val="32"/>
          <w:szCs w:val="32"/>
          <w:lang w:val="en-US" w:eastAsia="zh-CN"/>
        </w:rPr>
        <w:t>召开统战工作专题会，</w:t>
      </w:r>
      <w:r>
        <w:rPr>
          <w:rFonts w:hint="eastAsia" w:ascii="仿宋" w:hAnsi="仿宋" w:eastAsia="仿宋" w:cs="仿宋"/>
          <w:sz w:val="32"/>
          <w:szCs w:val="32"/>
          <w:lang w:val="en-US" w:eastAsia="zh-CN"/>
        </w:rPr>
        <w:t>先后</w:t>
      </w:r>
      <w:r>
        <w:rPr>
          <w:rFonts w:hint="eastAsia" w:ascii="仿宋_GB2312" w:hAnsi="仿宋_GB2312" w:eastAsia="仿宋_GB2312" w:cs="仿宋_GB2312"/>
          <w:sz w:val="32"/>
          <w:szCs w:val="32"/>
          <w:lang w:val="en-US" w:eastAsia="zh-CN"/>
        </w:rPr>
        <w:t>邀请省民宗委领导对区、镇（街道）、村（社区）三级宗教工作人员进行政策法规培训，增强宗教工作干部的政治意识，提升宗教事务的管理能力。</w:t>
      </w:r>
      <w:r>
        <w:rPr>
          <w:rFonts w:hint="eastAsia" w:ascii="仿宋" w:hAnsi="仿宋" w:eastAsia="仿宋" w:cs="仿宋"/>
          <w:b/>
          <w:bCs/>
          <w:sz w:val="32"/>
          <w:szCs w:val="32"/>
          <w:lang w:val="en-US" w:eastAsia="zh-CN"/>
        </w:rPr>
        <w:t>四是</w:t>
      </w:r>
      <w:r>
        <w:rPr>
          <w:rFonts w:hint="eastAsia" w:ascii="仿宋_GB2312" w:hAnsi="仿宋_GB2312" w:eastAsia="仿宋_GB2312" w:cs="仿宋_GB2312"/>
          <w:sz w:val="32"/>
          <w:szCs w:val="32"/>
          <w:lang w:val="en-US" w:eastAsia="zh-CN"/>
        </w:rPr>
        <w:t>严格落实重大宗教活动报批制度，围绕“开斋节”“古尔邦节”“宰牲节”“圣诞节”等重大宗教活动时间节点，活动开展前进行现场检查，活动期间进行现场督导，确保宗教活动依法依规安全有序开展。</w:t>
      </w: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sz w:val="32"/>
          <w:szCs w:val="32"/>
          <w:lang w:val="en-US" w:eastAsia="zh-CN"/>
        </w:rPr>
        <w:t>持续做好“四进”活动，为各宗教活动场所配发国旗和《陕西省宗教事务条例》宣传彩页，并指导各宗教活动场所在“国庆”等重大节日，结合实际组织信教群众积极开展升旗活动，引导宗教界始终坚持中国化方向，大力弘扬爱国主义。</w:t>
      </w:r>
      <w:r>
        <w:rPr>
          <w:rFonts w:hint="eastAsia" w:ascii="仿宋" w:hAnsi="仿宋" w:eastAsia="仿宋" w:cs="仿宋"/>
          <w:b/>
          <w:bCs/>
          <w:sz w:val="32"/>
          <w:szCs w:val="32"/>
          <w:lang w:val="en-US" w:eastAsia="zh-CN"/>
        </w:rPr>
        <w:t>六是</w:t>
      </w:r>
      <w:r>
        <w:rPr>
          <w:rFonts w:hint="eastAsia" w:ascii="仿宋_GB2312" w:hAnsi="仿宋_GB2312" w:eastAsia="仿宋_GB2312" w:cs="仿宋_GB2312"/>
          <w:sz w:val="32"/>
          <w:szCs w:val="32"/>
          <w:lang w:val="en-US" w:eastAsia="zh-CN"/>
        </w:rPr>
        <w:t>积极开展宗教场所疫情防控工作，严格落实宗教活动场所“双暂停”措施，及时张贴通告，签订承诺书，下发疫情防控宣传资料，配发口罩、温度计、消毒液、药品等防护用品，指导镇办做好宗教活动场所外部消杀工作</w:t>
      </w:r>
      <w:r>
        <w:rPr>
          <w:rFonts w:hint="eastAsia" w:ascii="仿宋" w:hAnsi="仿宋" w:eastAsia="仿宋" w:cs="仿宋"/>
          <w:sz w:val="32"/>
          <w:szCs w:val="32"/>
          <w:lang w:val="en-US" w:eastAsia="zh-CN"/>
        </w:rPr>
        <w:t>。</w:t>
      </w:r>
      <w:r>
        <w:rPr>
          <w:rFonts w:hint="eastAsia" w:ascii="仿宋_GB2312" w:hAnsi="仿宋_GB2312" w:eastAsia="仿宋_GB2312" w:cs="仿宋_GB2312"/>
          <w:sz w:val="32"/>
          <w:szCs w:val="32"/>
          <w:lang w:val="en-US" w:eastAsia="zh-CN"/>
        </w:rPr>
        <w:t>发现的问题及原因：由于基层人员变动较大，各镇（街道）、村（社区）宗教工作干部对党的宗教政策法规学习掌握不够，工作标准不高，宗教工作日常管理薄弱，三级网络两级责任制作用发挥有待加强。下一步改进措施：指导镇（街道）对各村（社区）宗教工作联络员加强宗教政策法规学习培训宣传，切实增强政治意识和责任意识，持续提升基层宗教事务管理水平。充分发挥宗教工作三级网络作用，严格落实宗教工作两级责任制，加强宗教事务规范化管理，坚持定期走访检查各宗教活动场所，指导基层做好宗教领域日常监管，持续做好各种非法活动的防范打击整治工作，切实维护宗教领域和谐稳定。</w:t>
      </w:r>
    </w:p>
    <w:p>
      <w:pPr>
        <w:keepNext w:val="0"/>
        <w:keepLines w:val="0"/>
        <w:pageBreakBefore w:val="0"/>
        <w:widowControl w:val="0"/>
        <w:numPr>
          <w:ilvl w:val="0"/>
          <w:numId w:val="0"/>
        </w:numPr>
        <w:kinsoku/>
        <w:wordWrap/>
        <w:overflowPunct/>
        <w:topLinePunct w:val="0"/>
        <w:bidi w:val="0"/>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bidi w:val="0"/>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bidi w:val="0"/>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bidi w:val="0"/>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bidi w:val="0"/>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bidi w:val="0"/>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bidi w:val="0"/>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bidi w:val="0"/>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bidi w:val="0"/>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bidi w:val="0"/>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widowControl/>
        <w:jc w:val="left"/>
        <w:rPr>
          <w:rFonts w:ascii="楷体" w:hAnsi="楷体" w:eastAsia="楷体" w:cs="楷体"/>
          <w:sz w:val="32"/>
          <w:szCs w:val="32"/>
        </w:rPr>
        <w:sectPr>
          <w:footerReference r:id="rId3" w:type="default"/>
          <w:pgSz w:w="11906" w:h="16838"/>
          <w:pgMar w:top="1985" w:right="1588" w:bottom="2098" w:left="1474" w:header="851" w:footer="992" w:gutter="0"/>
          <w:pgNumType w:fmt="numberInDash"/>
          <w:cols w:space="720" w:num="1"/>
          <w:docGrid w:type="lines" w:linePitch="315" w:charSpace="0"/>
        </w:sectPr>
      </w:pPr>
      <w:r>
        <w:rPr>
          <w:rFonts w:hint="eastAsia" w:ascii="楷体" w:hAnsi="楷体" w:eastAsia="楷体" w:cs="楷体"/>
          <w:sz w:val="32"/>
          <w:szCs w:val="32"/>
        </w:rPr>
        <w:object>
          <v:shape id="_x0000_i1027" o:spt="75" type="#_x0000_t75" style="height:853.35pt;width:460.45pt;" o:ole="t" filled="f" o:preferrelative="t" stroked="f" coordsize="21600,21600">
            <v:path/>
            <v:fill on="f" focussize="0,0"/>
            <v:stroke on="f"/>
            <v:imagedata r:id="rId20" o:title=""/>
            <o:lock v:ext="edit" aspectratio="t"/>
            <w10:wrap type="none"/>
            <w10:anchorlock/>
          </v:shape>
          <o:OLEObject Type="Embed" ProgID="Excel.Sheet.8" ShapeID="_x0000_i1027" DrawAspect="Content" ObjectID="_1468075727" r:id="rId19">
            <o:LockedField>false</o:LockedField>
          </o:OLEObject>
        </w:object>
      </w:r>
    </w:p>
    <w:p>
      <w:pPr>
        <w:widowControl/>
        <w:jc w:val="left"/>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bookmarkStart w:id="0" w:name="_GoBack"/>
      <w:r>
        <w:rPr>
          <w:rFonts w:hint="eastAsia" w:ascii="楷体" w:hAnsi="楷体" w:eastAsia="楷体" w:cs="楷体"/>
          <w:sz w:val="32"/>
          <w:szCs w:val="32"/>
        </w:rPr>
        <w:object>
          <v:shape id="_x0000_i1031" o:spt="75" alt="" type="#_x0000_t75" style="height:1412.9pt;width:635.8pt;" o:ole="t" filled="f" o:preferrelative="t" stroked="f" coordsize="21600,21600">
            <v:path/>
            <v:fill on="f" focussize="0,0"/>
            <v:stroke on="f"/>
            <v:imagedata r:id="rId22" o:title=""/>
            <o:lock v:ext="edit" aspectratio="t"/>
            <w10:wrap type="none"/>
            <w10:anchorlock/>
          </v:shape>
          <o:OLEObject Type="Embed" ProgID="Excel.Sheet.8" ShapeID="_x0000_i1031" DrawAspect="Content" ObjectID="_1468075728" r:id="rId21">
            <o:LockedField>false</o:LockedField>
          </o:OLEObject>
        </w:object>
      </w:r>
      <w:bookmarkEnd w:id="0"/>
      <w:r>
        <w:rPr>
          <w:rFonts w:hint="eastAsia" w:ascii="楷体" w:hAnsi="楷体" w:eastAsia="楷体" w:cs="楷体"/>
          <w:sz w:val="32"/>
          <w:szCs w:val="32"/>
        </w:rPr>
        <w:object>
          <v:shape id="_x0000_i1029" o:spt="75" type="#_x0000_t75" style="height:386.4pt;width:647.4pt;" o:ole="t" filled="f" o:preferrelative="t" stroked="f" coordsize="21600,21600">
            <v:path/>
            <v:fill on="f" focussize="0,0"/>
            <v:stroke on="f"/>
            <v:imagedata r:id="rId24" o:title=""/>
            <o:lock v:ext="edit" aspectratio="t"/>
            <w10:wrap type="none"/>
            <w10:anchorlock/>
          </v:shape>
          <o:OLEObject Type="Embed" ProgID="Excel.Sheet.8" ShapeID="_x0000_i1029" DrawAspect="Content" ObjectID="_1468075729" r:id="rId23">
            <o:LockedField>false</o:LockedField>
          </o:OLEObject>
        </w:object>
      </w:r>
    </w:p>
    <w:p>
      <w:pPr>
        <w:widowControl/>
        <w:jc w:val="left"/>
        <w:rPr>
          <w:rFonts w:ascii="楷体" w:hAnsi="楷体" w:eastAsia="楷体" w:cs="楷体"/>
          <w:sz w:val="32"/>
          <w:szCs w:val="32"/>
        </w:rPr>
        <w:sectPr>
          <w:pgSz w:w="16838" w:h="11906" w:orient="landscape"/>
          <w:pgMar w:top="1588" w:right="2098" w:bottom="1474" w:left="1985" w:header="851" w:footer="992" w:gutter="0"/>
          <w:pgNumType w:fmt="numberInDash"/>
          <w:cols w:space="720" w:num="1"/>
          <w:docGrid w:type="lines" w:linePitch="315" w:charSpace="0"/>
        </w:sectPr>
      </w:pPr>
      <w:r>
        <w:rPr>
          <w:rFonts w:hint="eastAsia" w:ascii="楷体" w:hAnsi="楷体" w:eastAsia="楷体" w:cs="楷体"/>
          <w:sz w:val="32"/>
          <w:szCs w:val="32"/>
        </w:rPr>
        <w:object>
          <v:shape id="_x0000_i1030" o:spt="75" type="#_x0000_t75" style="height:338.45pt;width:645pt;" o:ole="t" filled="f" o:preferrelative="t" stroked="f" coordsize="21600,21600">
            <v:path/>
            <v:fill on="f" focussize="0,0"/>
            <v:stroke on="f"/>
            <v:imagedata r:id="rId26" o:title=""/>
            <o:lock v:ext="edit" aspectratio="t"/>
            <w10:wrap type="none"/>
            <w10:anchorlock/>
          </v:shape>
          <o:OLEObject Type="Embed" ProgID="Excel.Sheet.8" ShapeID="_x0000_i1030" DrawAspect="Content" ObjectID="_1468075730" r:id="rId25">
            <o:LockedField>false</o:LockedField>
          </o:OLEObject>
        </w:object>
      </w:r>
    </w:p>
    <w:p>
      <w:pPr>
        <w:widowControl/>
        <w:jc w:val="left"/>
        <w:rPr>
          <w:rFonts w:ascii="黑体" w:hAnsi="宋体" w:eastAsia="黑体"/>
          <w:color w:val="000000"/>
          <w:kern w:val="0"/>
          <w:sz w:val="32"/>
          <w:szCs w:val="32"/>
          <w:lang w:bidi="ar"/>
        </w:rPr>
      </w:pPr>
    </w:p>
    <w:p>
      <w:pPr>
        <w:widowControl/>
        <w:jc w:val="left"/>
        <w:rPr>
          <w:rFonts w:ascii="黑体" w:hAnsi="宋体" w:eastAsia="黑体"/>
          <w:color w:val="000000"/>
          <w:kern w:val="0"/>
          <w:sz w:val="32"/>
          <w:szCs w:val="32"/>
          <w:lang w:bidi="ar"/>
        </w:rPr>
      </w:pPr>
    </w:p>
    <w:p>
      <w:pPr>
        <w:jc w:val="center"/>
        <w:rPr>
          <w:sz w:val="44"/>
          <w:szCs w:val="44"/>
        </w:rPr>
      </w:pPr>
      <w:r>
        <w:rPr>
          <w:rFonts w:hint="eastAsia" w:ascii="黑体" w:hAnsi="宋体" w:eastAsia="黑体"/>
          <w:color w:val="000000"/>
          <w:kern w:val="0"/>
          <w:sz w:val="44"/>
          <w:szCs w:val="44"/>
          <w:lang w:bidi="ar"/>
        </w:rPr>
        <w:t>第四部分 专业名词解释</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4.财政拨款收入</w:t>
      </w:r>
      <w:r>
        <w:rPr>
          <w:rFonts w:hint="eastAsia" w:ascii="仿宋_GB2312" w:hAnsi="仿宋_GB2312" w:eastAsia="仿宋_GB2312" w:cs="仿宋_GB2312"/>
          <w:sz w:val="32"/>
          <w:szCs w:val="32"/>
        </w:rPr>
        <w:t>：指本级财政当年拨付的资金。</w:t>
      </w:r>
    </w:p>
    <w:p>
      <w:pPr>
        <w:rPr>
          <w:rFonts w:ascii="黑体" w:hAnsi="宋体" w:eastAsia="黑体"/>
          <w:color w:val="000000"/>
          <w:kern w:val="0"/>
          <w:sz w:val="44"/>
          <w:szCs w:val="44"/>
          <w:lang w:bidi="ar"/>
        </w:rPr>
      </w:pPr>
    </w:p>
    <w:p>
      <w:pPr>
        <w:jc w:val="center"/>
        <w:rPr>
          <w:rFonts w:ascii="黑体" w:hAnsi="宋体" w:eastAsia="黑体"/>
          <w:color w:val="000000"/>
          <w:kern w:val="0"/>
          <w:sz w:val="44"/>
          <w:szCs w:val="44"/>
          <w:lang w:bidi="ar"/>
        </w:rPr>
      </w:pPr>
    </w:p>
    <w:p>
      <w:pPr>
        <w:jc w:val="center"/>
        <w:rPr>
          <w:rFonts w:ascii="黑体" w:hAnsi="宋体" w:eastAsia="黑体"/>
          <w:color w:val="000000"/>
          <w:kern w:val="0"/>
          <w:sz w:val="44"/>
          <w:szCs w:val="44"/>
          <w:lang w:bidi="ar"/>
        </w:rPr>
      </w:pPr>
    </w:p>
    <w:p>
      <w:pPr>
        <w:rPr>
          <w:rFonts w:ascii="黑体" w:hAnsi="宋体" w:eastAsia="黑体"/>
          <w:color w:val="000000"/>
          <w:kern w:val="0"/>
          <w:sz w:val="44"/>
          <w:szCs w:val="44"/>
          <w:lang w:bidi="ar"/>
        </w:rPr>
      </w:pPr>
    </w:p>
    <w:p>
      <w:pPr>
        <w:spacing w:before="156" w:beforeLines="50" w:after="156" w:afterLines="50" w:line="560" w:lineRule="exact"/>
      </w:pPr>
    </w:p>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om5dHdAQAAvgMAAA4AAAAAAAAA&#10;AQAgAAAAHgEAAGRycy9lMm9Eb2MueG1sUEsFBgAAAAAGAAYAWQEAAG0FA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47B"/>
    <w:rsid w:val="00087250"/>
    <w:rsid w:val="0015146A"/>
    <w:rsid w:val="001B1E9E"/>
    <w:rsid w:val="00334813"/>
    <w:rsid w:val="0038147B"/>
    <w:rsid w:val="003C30A9"/>
    <w:rsid w:val="0058441A"/>
    <w:rsid w:val="006621E6"/>
    <w:rsid w:val="007615CD"/>
    <w:rsid w:val="00775E0E"/>
    <w:rsid w:val="007863E7"/>
    <w:rsid w:val="0088310B"/>
    <w:rsid w:val="008C573D"/>
    <w:rsid w:val="008C7D69"/>
    <w:rsid w:val="00A14241"/>
    <w:rsid w:val="00A163EA"/>
    <w:rsid w:val="00D062D4"/>
    <w:rsid w:val="00E36E2F"/>
    <w:rsid w:val="00E702DD"/>
    <w:rsid w:val="00ED2B6C"/>
    <w:rsid w:val="00F01DDE"/>
    <w:rsid w:val="00F170DB"/>
    <w:rsid w:val="00F7175F"/>
    <w:rsid w:val="00FA5195"/>
    <w:rsid w:val="01EB657A"/>
    <w:rsid w:val="023F6D5E"/>
    <w:rsid w:val="029E06D8"/>
    <w:rsid w:val="0354494F"/>
    <w:rsid w:val="03D45C4B"/>
    <w:rsid w:val="05EE7D6F"/>
    <w:rsid w:val="06E76A15"/>
    <w:rsid w:val="09700FFA"/>
    <w:rsid w:val="097E7978"/>
    <w:rsid w:val="0C2B0FDD"/>
    <w:rsid w:val="0CB10712"/>
    <w:rsid w:val="0D305916"/>
    <w:rsid w:val="0D76067E"/>
    <w:rsid w:val="0F2C03CF"/>
    <w:rsid w:val="0F3A1DAA"/>
    <w:rsid w:val="0F515B2B"/>
    <w:rsid w:val="0F9674D8"/>
    <w:rsid w:val="118E5B7B"/>
    <w:rsid w:val="12475DC3"/>
    <w:rsid w:val="13EA05EF"/>
    <w:rsid w:val="15567A51"/>
    <w:rsid w:val="157F641B"/>
    <w:rsid w:val="18990935"/>
    <w:rsid w:val="19F46943"/>
    <w:rsid w:val="1AC14C1A"/>
    <w:rsid w:val="1ADC74E7"/>
    <w:rsid w:val="1B5C42DF"/>
    <w:rsid w:val="1CE46BCE"/>
    <w:rsid w:val="1D01397E"/>
    <w:rsid w:val="1D925335"/>
    <w:rsid w:val="1D9705AD"/>
    <w:rsid w:val="209F0758"/>
    <w:rsid w:val="20BB0EE4"/>
    <w:rsid w:val="210C0353"/>
    <w:rsid w:val="21F23C66"/>
    <w:rsid w:val="228D446D"/>
    <w:rsid w:val="232125DE"/>
    <w:rsid w:val="23293382"/>
    <w:rsid w:val="248E0353"/>
    <w:rsid w:val="25345DFB"/>
    <w:rsid w:val="254C720C"/>
    <w:rsid w:val="25890D8B"/>
    <w:rsid w:val="269D0D91"/>
    <w:rsid w:val="271E74BE"/>
    <w:rsid w:val="2798056B"/>
    <w:rsid w:val="284E0329"/>
    <w:rsid w:val="2C1A0E7D"/>
    <w:rsid w:val="2C415943"/>
    <w:rsid w:val="2C6B1098"/>
    <w:rsid w:val="2C9B6059"/>
    <w:rsid w:val="2D04227B"/>
    <w:rsid w:val="2D8F0E23"/>
    <w:rsid w:val="2F870B13"/>
    <w:rsid w:val="30E96B9E"/>
    <w:rsid w:val="30EE548C"/>
    <w:rsid w:val="31F602D0"/>
    <w:rsid w:val="334E044C"/>
    <w:rsid w:val="34215CA1"/>
    <w:rsid w:val="34596819"/>
    <w:rsid w:val="34834E06"/>
    <w:rsid w:val="353F235F"/>
    <w:rsid w:val="35B51C98"/>
    <w:rsid w:val="397C177F"/>
    <w:rsid w:val="39DB4390"/>
    <w:rsid w:val="3A8C5B8A"/>
    <w:rsid w:val="3AB508FD"/>
    <w:rsid w:val="3C4A21DE"/>
    <w:rsid w:val="3D3E22E9"/>
    <w:rsid w:val="3D5C09E0"/>
    <w:rsid w:val="3E7A0D74"/>
    <w:rsid w:val="418066C0"/>
    <w:rsid w:val="4249774E"/>
    <w:rsid w:val="42E66F17"/>
    <w:rsid w:val="43364F1F"/>
    <w:rsid w:val="44B5452F"/>
    <w:rsid w:val="45755E61"/>
    <w:rsid w:val="46A247CB"/>
    <w:rsid w:val="47E85BA3"/>
    <w:rsid w:val="49227C71"/>
    <w:rsid w:val="49F81F8C"/>
    <w:rsid w:val="4A121DD1"/>
    <w:rsid w:val="4A462145"/>
    <w:rsid w:val="4AD02097"/>
    <w:rsid w:val="4AE01F4F"/>
    <w:rsid w:val="4B223C46"/>
    <w:rsid w:val="4CDF5F8B"/>
    <w:rsid w:val="4E390F80"/>
    <w:rsid w:val="4EAB0406"/>
    <w:rsid w:val="50170AD3"/>
    <w:rsid w:val="522508E1"/>
    <w:rsid w:val="538A2068"/>
    <w:rsid w:val="544E5D63"/>
    <w:rsid w:val="54B211AD"/>
    <w:rsid w:val="56ED1518"/>
    <w:rsid w:val="57137879"/>
    <w:rsid w:val="573875E5"/>
    <w:rsid w:val="59164612"/>
    <w:rsid w:val="5A273F62"/>
    <w:rsid w:val="5A981153"/>
    <w:rsid w:val="5ACF0075"/>
    <w:rsid w:val="5C310139"/>
    <w:rsid w:val="5D7F3C55"/>
    <w:rsid w:val="5DA57135"/>
    <w:rsid w:val="5E114473"/>
    <w:rsid w:val="5E4D71C7"/>
    <w:rsid w:val="61D36095"/>
    <w:rsid w:val="62035FE6"/>
    <w:rsid w:val="620543D7"/>
    <w:rsid w:val="644674B4"/>
    <w:rsid w:val="654275B8"/>
    <w:rsid w:val="65B41B36"/>
    <w:rsid w:val="65FA3F87"/>
    <w:rsid w:val="6700755B"/>
    <w:rsid w:val="675F7FA7"/>
    <w:rsid w:val="6934794E"/>
    <w:rsid w:val="6B5A7A2B"/>
    <w:rsid w:val="6C744779"/>
    <w:rsid w:val="6C853C28"/>
    <w:rsid w:val="6DC17994"/>
    <w:rsid w:val="6F4D7D7B"/>
    <w:rsid w:val="6FC06E08"/>
    <w:rsid w:val="700E1656"/>
    <w:rsid w:val="70456E47"/>
    <w:rsid w:val="705518E2"/>
    <w:rsid w:val="70CA11DE"/>
    <w:rsid w:val="70FF468C"/>
    <w:rsid w:val="728E121C"/>
    <w:rsid w:val="73EA2609"/>
    <w:rsid w:val="75417878"/>
    <w:rsid w:val="77263EC1"/>
    <w:rsid w:val="78CF2D36"/>
    <w:rsid w:val="797532FE"/>
    <w:rsid w:val="79851CEF"/>
    <w:rsid w:val="7AED1CC3"/>
    <w:rsid w:val="7BDC3246"/>
    <w:rsid w:val="7DA0080B"/>
    <w:rsid w:val="7DB64729"/>
    <w:rsid w:val="7DDB799D"/>
    <w:rsid w:val="7E3C5E8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列出段落"/>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1.xml"/><Relationship Id="rId26" Type="http://schemas.openxmlformats.org/officeDocument/2006/relationships/image" Target="media/image6.emf"/><Relationship Id="rId25" Type="http://schemas.openxmlformats.org/officeDocument/2006/relationships/oleObject" Target="embeddings/oleObject6.bin"/><Relationship Id="rId24" Type="http://schemas.openxmlformats.org/officeDocument/2006/relationships/image" Target="media/image5.emf"/><Relationship Id="rId23" Type="http://schemas.openxmlformats.org/officeDocument/2006/relationships/oleObject" Target="embeddings/oleObject5.bin"/><Relationship Id="rId22" Type="http://schemas.openxmlformats.org/officeDocument/2006/relationships/image" Target="media/image4.emf"/><Relationship Id="rId21" Type="http://schemas.openxmlformats.org/officeDocument/2006/relationships/oleObject" Target="embeddings/oleObject4.bin"/><Relationship Id="rId20" Type="http://schemas.openxmlformats.org/officeDocument/2006/relationships/image" Target="media/image3.e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chart" Target="charts/chart4.xml"/><Relationship Id="rId17" Type="http://schemas.openxmlformats.org/officeDocument/2006/relationships/chart" Target="charts/chart3.xml"/><Relationship Id="rId16" Type="http://schemas.openxmlformats.org/officeDocument/2006/relationships/chart" Target="charts/chart2.xml"/><Relationship Id="rId15" Type="http://schemas.openxmlformats.org/officeDocument/2006/relationships/chart" Target="charts/chart1.xml"/><Relationship Id="rId14" Type="http://schemas.openxmlformats.org/officeDocument/2006/relationships/image" Target="media/image2.emf"/><Relationship Id="rId13" Type="http://schemas.openxmlformats.org/officeDocument/2006/relationships/oleObject" Target="embeddings/oleObject2.bin"/><Relationship Id="rId12" Type="http://schemas.openxmlformats.org/officeDocument/2006/relationships/image" Target="media/image1.e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区委统战部2020年总收入</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dLblPos val="inEnd"/>
              <c:showLegendKey val="0"/>
              <c:showVal val="1"/>
              <c:showCatName val="0"/>
              <c:showSerName val="0"/>
              <c:showPercent val="0"/>
              <c:showBubbleSize val="0"/>
              <c:extLst>
                <c:ext xmlns:c15="http://schemas.microsoft.com/office/drawing/2012/chart" uri="{CE6537A1-D6FC-4f65-9D91-7224C49458BB}"/>
              </c:extLst>
            </c:dLbl>
            <c:dLbl>
              <c:idx val="1"/>
              <c:layout/>
              <c:dLblPos val="in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其他收入</c:v>
                </c:pt>
              </c:strCache>
            </c:strRef>
          </c:cat>
          <c:val>
            <c:numRef>
              <c:f>Sheet1!$B$2:$B$3</c:f>
              <c:numCache>
                <c:formatCode>0.00%</c:formatCode>
                <c:ptCount val="2"/>
                <c:pt idx="0">
                  <c:v>0.9177</c:v>
                </c:pt>
                <c:pt idx="1">
                  <c:v>0.0823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区委统战部2020年总支出</a:t>
            </a:r>
          </a:p>
        </c:rich>
      </c:tx>
      <c:layout/>
      <c:overlay val="0"/>
      <c:spPr>
        <a:noFill/>
        <a:ln>
          <a:noFill/>
        </a:ln>
        <a:effectLst/>
      </c:spPr>
    </c:title>
    <c:autoTitleDeleted val="0"/>
    <c:plotArea>
      <c:layout/>
      <c:pieChart>
        <c:varyColors val="1"/>
        <c:ser>
          <c:idx val="0"/>
          <c:order val="0"/>
          <c:tx>
            <c:strRef>
              <c:f>Sheet1!$B$1</c:f>
              <c:strCache>
                <c:ptCount val="1"/>
                <c:pt idx="0">
                  <c:v>统战部2020年总支出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0.00%</c:formatCode>
                <c:ptCount val="2"/>
                <c:pt idx="0">
                  <c:v>0.8814</c:v>
                </c:pt>
                <c:pt idx="1">
                  <c:v>0.1186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区委统战部</a:t>
            </a:r>
            <a:r>
              <a:rPr lang="en-US" altLang="zh-CN"/>
              <a:t>2020</a:t>
            </a:r>
            <a:r>
              <a:rPr altLang="en-US"/>
              <a:t>年财政拨款收入支出总体情况</a:t>
            </a:r>
            <a:endParaRPr lang="en-US" altLang="zh-CN"/>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2020</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Sheet1!$B$2:$B$3</c:f>
              <c:numCache>
                <c:formatCode>General</c:formatCode>
                <c:ptCount val="2"/>
                <c:pt idx="0">
                  <c:v>123.82</c:v>
                </c:pt>
                <c:pt idx="1">
                  <c:v>123.82</c:v>
                </c:pt>
              </c:numCache>
            </c:numRef>
          </c:val>
        </c:ser>
        <c:ser>
          <c:idx val="1"/>
          <c:order val="1"/>
          <c:tx>
            <c:strRef>
              <c:f>Sheet1!$C$1</c:f>
              <c:strCache>
                <c:ptCount val="1"/>
                <c:pt idx="0">
                  <c:v>2019</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Sheet1!$C$2:$C$3</c:f>
              <c:numCache>
                <c:formatCode>General</c:formatCode>
                <c:ptCount val="2"/>
                <c:pt idx="0">
                  <c:v>105.17</c:v>
                </c:pt>
                <c:pt idx="1">
                  <c:v>105.17</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财政拨款收入</c:v>
                </c:pt>
                <c:pt idx="1">
                  <c:v>财政拨款支出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569511083"/>
        <c:axId val="475285993"/>
      </c:barChart>
      <c:catAx>
        <c:axId val="56951108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5285993"/>
        <c:crosses val="autoZero"/>
        <c:auto val="1"/>
        <c:lblAlgn val="ctr"/>
        <c:lblOffset val="100"/>
        <c:noMultiLvlLbl val="0"/>
      </c:catAx>
      <c:valAx>
        <c:axId val="47528599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69511083"/>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区委统战部</a:t>
            </a:r>
            <a:r>
              <a:rPr lang="en-US" altLang="zh-CN"/>
              <a:t>2020</a:t>
            </a:r>
            <a:r>
              <a:rPr altLang="en-US"/>
              <a:t>年财政拨款支出总体情况</a:t>
            </a:r>
            <a:endParaRPr lang="en-US" altLang="zh-CN"/>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财政拨款支出</c:v>
                </c:pt>
                <c:pt idx="1">
                  <c:v>非财政拨款支出</c:v>
                </c:pt>
              </c:strCache>
            </c:strRef>
          </c:cat>
          <c:val>
            <c:numRef>
              <c:f>Sheet1!$B$2:$B$3</c:f>
              <c:numCache>
                <c:formatCode>0.00%</c:formatCode>
                <c:ptCount val="2"/>
                <c:pt idx="0">
                  <c:v>0.931</c:v>
                </c:pt>
                <c:pt idx="1">
                  <c:v>0.069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265</Words>
  <Characters>1514</Characters>
  <Lines>12</Lines>
  <Paragraphs>3</Paragraphs>
  <TotalTime>0</TotalTime>
  <ScaleCrop>false</ScaleCrop>
  <LinksUpToDate>false</LinksUpToDate>
  <CharactersWithSpaces>1776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2016-09-07T07:37:00Z</dcterms:created>
  <dc:creator>Administrator</dc:creator>
  <cp:lastModifiedBy>_DDD</cp:lastModifiedBy>
  <cp:lastPrinted>2021-10-08T08:56:00Z</cp:lastPrinted>
  <dcterms:modified xsi:type="dcterms:W3CDTF">2021-10-19T09:50:05Z</dcterms:modified>
  <dc:title>杨陵区财政局</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EA7EF06FB8E044FEA847FFF08252E98A</vt:lpwstr>
  </property>
</Properties>
</file>