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宋体" w:hAnsi="宋体" w:eastAsia="宋体" w:cs="宋体"/>
          <w:b/>
          <w:bCs/>
          <w:sz w:val="44"/>
          <w:szCs w:val="44"/>
        </w:rPr>
      </w:pPr>
      <w:bookmarkStart w:id="0" w:name="_GoBack"/>
      <w:r>
        <w:rPr>
          <w:rFonts w:hint="eastAsia" w:ascii="宋体" w:hAnsi="宋体" w:eastAsia="宋体" w:cs="宋体"/>
          <w:b/>
          <w:bCs/>
          <w:sz w:val="48"/>
          <w:szCs w:val="48"/>
        </w:rPr>
        <w:t>杨陵区人力资源和社会保障局20</w:t>
      </w:r>
      <w:r>
        <w:rPr>
          <w:rFonts w:hint="eastAsia" w:ascii="宋体" w:hAnsi="宋体" w:eastAsia="宋体" w:cs="宋体"/>
          <w:b/>
          <w:bCs/>
          <w:sz w:val="48"/>
          <w:szCs w:val="48"/>
          <w:lang w:val="en-US" w:eastAsia="zh-CN"/>
        </w:rPr>
        <w:t>20</w:t>
      </w:r>
      <w:r>
        <w:rPr>
          <w:rFonts w:hint="eastAsia" w:ascii="宋体" w:hAnsi="宋体" w:eastAsia="宋体" w:cs="宋体"/>
          <w:b/>
          <w:bCs/>
          <w:sz w:val="48"/>
          <w:szCs w:val="48"/>
        </w:rPr>
        <w:t>年部门决算</w:t>
      </w:r>
    </w:p>
    <w:bookmarkEnd w:id="0"/>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jc w:val="center"/>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hint="eastAsia"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560" w:lineRule="exact"/>
        <w:rPr>
          <w:rFonts w:ascii="宋体" w:hAnsi="宋体" w:eastAsia="宋体" w:cs="宋体"/>
          <w:b/>
          <w:bCs/>
          <w:sz w:val="44"/>
          <w:szCs w:val="44"/>
        </w:rPr>
      </w:pPr>
    </w:p>
    <w:p>
      <w:pPr>
        <w:spacing w:line="400" w:lineRule="exact"/>
        <w:ind w:firstLine="2570" w:firstLineChars="800"/>
        <w:rPr>
          <w:rFonts w:ascii="宋体" w:hAnsi="宋体" w:eastAsia="宋体" w:cs="宋体"/>
          <w:b/>
          <w:bCs/>
          <w:sz w:val="32"/>
          <w:szCs w:val="32"/>
        </w:rPr>
      </w:pPr>
    </w:p>
    <w:p>
      <w:pPr>
        <w:spacing w:line="400" w:lineRule="exact"/>
        <w:ind w:firstLine="2570" w:firstLineChars="800"/>
        <w:rPr>
          <w:rFonts w:hint="eastAsia" w:ascii="宋体" w:hAnsi="宋体" w:eastAsia="宋体" w:cs="宋体"/>
          <w:b/>
          <w:bCs/>
          <w:sz w:val="32"/>
          <w:szCs w:val="32"/>
        </w:rPr>
      </w:pPr>
    </w:p>
    <w:p>
      <w:pPr>
        <w:spacing w:line="400" w:lineRule="exact"/>
        <w:ind w:firstLine="2088" w:firstLineChars="650"/>
        <w:rPr>
          <w:rFonts w:hint="default" w:ascii="宋体" w:hAnsi="宋体" w:eastAsia="宋体" w:cs="宋体"/>
          <w:b/>
          <w:bCs/>
          <w:sz w:val="32"/>
          <w:szCs w:val="32"/>
          <w:lang w:val="en-US" w:eastAsia="zh-CN"/>
        </w:rPr>
      </w:pPr>
      <w:r>
        <w:rPr>
          <w:rFonts w:hint="eastAsia" w:ascii="宋体" w:hAnsi="宋体" w:eastAsia="宋体" w:cs="宋体"/>
          <w:b/>
          <w:bCs/>
          <w:sz w:val="32"/>
          <w:szCs w:val="32"/>
        </w:rPr>
        <w:t>保密审查情况：</w:t>
      </w:r>
      <w:r>
        <w:rPr>
          <w:rFonts w:hint="eastAsia" w:ascii="宋体" w:hAnsi="宋体" w:eastAsia="宋体" w:cs="宋体"/>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default" w:ascii="仿宋" w:hAnsi="仿宋" w:eastAsia="仿宋" w:cs="楷体"/>
          <w:color w:val="000000"/>
          <w:kern w:val="0"/>
          <w:sz w:val="32"/>
          <w:szCs w:val="32"/>
          <w:highlight w:val="none"/>
          <w:lang w:val="en-US" w:eastAsia="zh-CN" w:bidi="ar"/>
        </w:rPr>
      </w:pPr>
      <w:r>
        <w:rPr>
          <w:rFonts w:hint="eastAsia" w:ascii="仿宋" w:hAnsi="仿宋" w:eastAsia="仿宋" w:cs="楷体"/>
          <w:color w:val="000000"/>
          <w:kern w:val="0"/>
          <w:sz w:val="32"/>
          <w:szCs w:val="32"/>
          <w:highlight w:val="none"/>
          <w:lang w:val="en-US" w:eastAsia="zh-CN" w:bidi="ar"/>
        </w:rPr>
        <w:t>九、国有资本经营预算财政拨款支出决算表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w:t>
      </w:r>
      <w:r>
        <w:rPr>
          <w:rFonts w:hint="eastAsia" w:ascii="黑体" w:hAnsi="宋体" w:eastAsia="黑体"/>
          <w:color w:val="000000"/>
          <w:kern w:val="0"/>
          <w:sz w:val="32"/>
          <w:szCs w:val="32"/>
          <w:lang w:val="en-US" w:eastAsia="zh-CN" w:bidi="ar"/>
        </w:rPr>
        <w:t>20</w:t>
      </w:r>
      <w:r>
        <w:rPr>
          <w:rFonts w:hint="eastAsia" w:ascii="黑体" w:hAnsi="宋体" w:eastAsia="黑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（一）“三公”经费财政拨款支出决算总体情况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（二）“三公”经费财政拨款支出决算具体情况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（三）培训费支出情况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（四）会议费支出情况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w:t>
      </w:r>
      <w:r>
        <w:rPr>
          <w:rFonts w:hint="eastAsia" w:ascii="仿宋" w:hAnsi="仿宋" w:eastAsia="仿宋" w:cs="楷体"/>
          <w:color w:val="auto"/>
          <w:kern w:val="0"/>
          <w:sz w:val="32"/>
          <w:szCs w:val="32"/>
          <w:lang w:bidi="ar"/>
        </w:rPr>
        <w:t>机关运行经费支出情况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十一、</w:t>
      </w:r>
      <w:r>
        <w:rPr>
          <w:rFonts w:hint="eastAsia" w:ascii="仿宋" w:hAnsi="仿宋" w:eastAsia="仿宋" w:cs="楷体"/>
          <w:color w:val="auto"/>
          <w:kern w:val="0"/>
          <w:sz w:val="32"/>
          <w:szCs w:val="32"/>
          <w:lang w:bidi="ar"/>
        </w:rPr>
        <w:t>政府采购支出情况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val="en-US" w:eastAsia="zh-CN" w:bidi="ar"/>
        </w:rPr>
        <w:t>十二、</w:t>
      </w:r>
      <w:r>
        <w:rPr>
          <w:rFonts w:hint="eastAsia" w:ascii="仿宋" w:hAnsi="仿宋" w:eastAsia="仿宋" w:cs="楷体"/>
          <w:color w:val="auto"/>
          <w:kern w:val="0"/>
          <w:sz w:val="32"/>
          <w:szCs w:val="32"/>
          <w:lang w:bidi="ar"/>
        </w:rPr>
        <w:t>国有资产占用及购置情况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十</w:t>
      </w:r>
      <w:r>
        <w:rPr>
          <w:rFonts w:hint="eastAsia" w:ascii="仿宋" w:hAnsi="仿宋" w:eastAsia="仿宋" w:cs="楷体"/>
          <w:color w:val="auto"/>
          <w:kern w:val="0"/>
          <w:sz w:val="32"/>
          <w:szCs w:val="32"/>
          <w:lang w:val="en-US" w:eastAsia="zh-CN" w:bidi="ar"/>
        </w:rPr>
        <w:t>三</w:t>
      </w:r>
      <w:r>
        <w:rPr>
          <w:rFonts w:hint="eastAsia" w:ascii="仿宋" w:hAnsi="仿宋" w:eastAsia="仿宋" w:cs="楷体"/>
          <w:color w:val="auto"/>
          <w:kern w:val="0"/>
          <w:sz w:val="32"/>
          <w:szCs w:val="32"/>
          <w:lang w:bidi="ar"/>
        </w:rPr>
        <w:t>、预算绩效情况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（一）预算绩效管理工作开展情况</w:t>
      </w:r>
      <w:r>
        <w:rPr>
          <w:rFonts w:hint="eastAsia" w:ascii="仿宋" w:hAnsi="仿宋" w:eastAsia="仿宋" w:cs="楷体"/>
          <w:color w:val="auto"/>
          <w:kern w:val="0"/>
          <w:sz w:val="32"/>
          <w:szCs w:val="32"/>
          <w:lang w:eastAsia="zh-CN" w:bidi="ar"/>
        </w:rPr>
        <w:t>说明</w:t>
      </w:r>
      <w:r>
        <w:rPr>
          <w:rFonts w:hint="eastAsia" w:ascii="仿宋" w:hAnsi="仿宋" w:eastAsia="仿宋" w:cs="楷体"/>
          <w:color w:val="auto"/>
          <w:kern w:val="0"/>
          <w:sz w:val="32"/>
          <w:szCs w:val="32"/>
          <w:lang w:bidi="ar"/>
        </w:rPr>
        <w:t xml:space="preserve">     </w:t>
      </w:r>
    </w:p>
    <w:p>
      <w:pPr>
        <w:widowControl/>
        <w:jc w:val="left"/>
        <w:rPr>
          <w:rFonts w:ascii="仿宋" w:hAnsi="仿宋" w:eastAsia="仿宋" w:cs="楷体"/>
          <w:color w:val="auto"/>
          <w:kern w:val="0"/>
          <w:sz w:val="32"/>
          <w:szCs w:val="32"/>
          <w:lang w:bidi="ar"/>
        </w:rPr>
      </w:pPr>
      <w:r>
        <w:rPr>
          <w:rFonts w:hint="eastAsia" w:ascii="仿宋" w:hAnsi="仿宋" w:eastAsia="仿宋" w:cs="楷体"/>
          <w:color w:val="auto"/>
          <w:kern w:val="0"/>
          <w:sz w:val="32"/>
          <w:szCs w:val="32"/>
          <w:lang w:bidi="ar"/>
        </w:rPr>
        <w:t>（二）部门决算中项目绩效自评结果</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olor w:val="000000"/>
          <w:sz w:val="32"/>
          <w:szCs w:val="32"/>
        </w:rPr>
        <w:t>贯彻执行有关人力资源和社会保障工作的法律、法规、规章和方针、政策；负责编制本区人力资源和社会保障事业发展中长期规划、专业规划和年度计划；负责拟订本区事业单位人事制度改革的政策、规定；综合管理本区人力资源工作，负责本区专业技术人员管理工作；贯彻执行《就业促进法》，负责本区促进就业工作；贯彻执行《劳动法》和《劳动合同法》；贯彻执行《社会保险法》，统筹建立覆盖城乡的社会保障体系；负责本区机关事业单位人员工资、福利的综合管理和分配制度改革工作</w:t>
      </w:r>
      <w:r>
        <w:rPr>
          <w:rFonts w:hint="eastAsia" w:ascii="仿宋_GB2312" w:hAnsi="宋体" w:eastAsia="仿宋_GB2312"/>
          <w:sz w:val="32"/>
          <w:szCs w:val="32"/>
        </w:rPr>
        <w:t>以及区委、区政府和上级部门交办的其他工作。</w:t>
      </w:r>
    </w:p>
    <w:p>
      <w:pPr>
        <w:widowControl/>
        <w:ind w:firstLine="643" w:firstLineChars="200"/>
        <w:jc w:val="left"/>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区人社局为区政府工作部门，内设科室</w:t>
      </w:r>
      <w:r>
        <w:rPr>
          <w:rFonts w:hint="eastAsia" w:ascii="仿宋_GB2312" w:hAnsi="宋体" w:eastAsia="仿宋_GB2312"/>
          <w:sz w:val="32"/>
          <w:szCs w:val="32"/>
          <w:lang w:val="en-US" w:eastAsia="zh-CN"/>
        </w:rPr>
        <w:t>5</w:t>
      </w:r>
      <w:r>
        <w:rPr>
          <w:rFonts w:hint="eastAsia" w:ascii="仿宋_GB2312" w:hAnsi="宋体" w:eastAsia="仿宋_GB2312"/>
          <w:sz w:val="32"/>
          <w:szCs w:val="32"/>
        </w:rPr>
        <w:t>个，分别为：机关办公室、工资科、就业科、社保科、人事科。下设事业单位</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个，分别为：机关事业统筹办、城乡居民社会养老保险经办中心、就业管理服务中心、劳动保障监察大队。</w:t>
      </w:r>
    </w:p>
    <w:tbl>
      <w:tblPr>
        <w:tblStyle w:val="5"/>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杨陵区人力资源和社会保障局</w:t>
            </w:r>
            <w:r>
              <w:rPr>
                <w:rFonts w:hint="eastAsia" w:ascii="仿宋_GB2312" w:hAnsi="仿宋_GB2312" w:eastAsia="仿宋_GB2312" w:cs="仿宋_GB2312"/>
                <w:sz w:val="32"/>
                <w:szCs w:val="32"/>
              </w:rPr>
              <w:t>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rPr>
              <w:t>机关事业统筹办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278" w:type="dxa"/>
            <w:noWrap w:val="0"/>
            <w:vAlign w:val="center"/>
          </w:tcPr>
          <w:p>
            <w:pPr>
              <w:jc w:val="center"/>
              <w:rPr>
                <w:rFonts w:hint="eastAsia" w:ascii="仿宋_GB2312" w:hAnsi="仿宋_GB2312" w:eastAsia="仿宋_GB2312" w:cs="仿宋_GB2312"/>
                <w:sz w:val="32"/>
                <w:szCs w:val="32"/>
              </w:rPr>
            </w:pPr>
            <w:r>
              <w:rPr>
                <w:rFonts w:hint="eastAsia" w:ascii="仿宋_GB2312" w:hAnsi="宋体" w:eastAsia="仿宋_GB2312"/>
                <w:sz w:val="32"/>
                <w:szCs w:val="32"/>
              </w:rPr>
              <w:t>城乡居民社会养老保险经办中心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rPr>
              <w:t>就业管理服务中心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noWrap w:val="0"/>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宋体" w:eastAsia="仿宋_GB2312"/>
                <w:sz w:val="32"/>
                <w:szCs w:val="32"/>
              </w:rPr>
              <w:t>劳动保障监察大队</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截止2020年底，本部门人员编制40人，其中行政编制11人、事业编制29人；实有人员34人，其</w:t>
      </w:r>
      <w:r>
        <w:rPr>
          <w:rFonts w:hint="eastAsia" w:ascii="仿宋_GB2312" w:hAnsi="宋体" w:eastAsia="仿宋_GB2312" w:cs="Times New Roman"/>
          <w:sz w:val="32"/>
          <w:szCs w:val="32"/>
          <w:highlight w:val="none"/>
          <w:lang w:val="en-US" w:eastAsia="zh-CN"/>
        </w:rPr>
        <w:t>中行政9人、事业25人。单位管理的离退休人员22人</w:t>
      </w:r>
      <w:r>
        <w:rPr>
          <w:rFonts w:hint="eastAsia" w:ascii="仿宋_GB2312" w:hAnsi="宋体" w:eastAsia="仿宋_GB2312" w:cs="Times New Roman"/>
          <w:sz w:val="32"/>
          <w:szCs w:val="32"/>
          <w:highlight w:val="none"/>
        </w:rPr>
        <w:t>。</w:t>
      </w:r>
    </w:p>
    <w:p>
      <w:pPr>
        <w:widowControl/>
        <w:jc w:val="center"/>
        <w:rPr>
          <w:rFonts w:hint="eastAsia" w:ascii="黑体" w:hAnsi="宋体" w:eastAsia="黑体"/>
          <w:color w:val="000000"/>
          <w:kern w:val="0"/>
          <w:sz w:val="44"/>
          <w:szCs w:val="44"/>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3961765" cy="2792730"/>
            <wp:effectExtent l="4445" t="4445" r="11430"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jc w:val="center"/>
        <w:rPr>
          <w:sz w:val="44"/>
          <w:szCs w:val="44"/>
        </w:rPr>
      </w:pPr>
      <w:r>
        <w:rPr>
          <w:rFonts w:ascii="黑体" w:hAnsi="宋体" w:eastAsia="黑体"/>
          <w:color w:val="000000"/>
          <w:kern w:val="0"/>
          <w:sz w:val="44"/>
          <w:szCs w:val="44"/>
          <w:lang w:bidi="ar"/>
        </w:rPr>
        <w:t>第二部分 20</w:t>
      </w:r>
      <w:r>
        <w:rPr>
          <w:rFonts w:hint="eastAsia" w:ascii="黑体" w:hAnsi="宋体" w:eastAsia="黑体"/>
          <w:color w:val="000000"/>
          <w:kern w:val="0"/>
          <w:sz w:val="44"/>
          <w:szCs w:val="44"/>
          <w:lang w:val="en-US" w:eastAsia="zh-CN" w:bidi="ar"/>
        </w:rPr>
        <w:t>20</w:t>
      </w:r>
      <w:r>
        <w:rPr>
          <w:rFonts w:ascii="黑体" w:hAnsi="宋体" w:eastAsia="黑体"/>
          <w:color w:val="000000"/>
          <w:kern w:val="0"/>
          <w:sz w:val="44"/>
          <w:szCs w:val="44"/>
          <w:lang w:bidi="ar"/>
        </w:rPr>
        <w:t>年度部门决算表</w:t>
      </w:r>
    </w:p>
    <w:tbl>
      <w:tblPr>
        <w:tblStyle w:val="4"/>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否</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无收入支出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表9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国有资本经营预算财政拨款支出决算表</w:t>
            </w:r>
          </w:p>
          <w:p>
            <w:pPr>
              <w:widowControl/>
              <w:jc w:val="left"/>
              <w:rPr>
                <w:rFonts w:hint="default" w:ascii="宋体" w:hAnsi="宋体" w:cs="宋体"/>
                <w:color w:val="000000"/>
                <w:kern w:val="0"/>
                <w:sz w:val="24"/>
                <w:lang w:val="en-US" w:eastAsia="zh-CN" w:bidi="ar"/>
              </w:rPr>
            </w:pP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无支出</w:t>
            </w:r>
          </w:p>
        </w:tc>
      </w:tr>
    </w:tbl>
    <w:p>
      <w:pPr>
        <w:widowControl/>
        <w:jc w:val="left"/>
        <w:rPr>
          <w:rFonts w:hint="eastAsia" w:ascii="宋体" w:hAnsi="宋体" w:cs="宋体"/>
          <w:color w:val="000000"/>
          <w:kern w:val="0"/>
          <w:sz w:val="2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jc w:val="left"/>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1,069.22</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1,190.39</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2,080.36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23、债务还本支出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24、债务付息支出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25、抗疫特别国债安排支出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2,259.62</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2,220.87</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Cs/>
                <w:color w:val="000000"/>
                <w:szCs w:val="21"/>
                <w:lang w:val="en-US" w:eastAsia="zh-CN"/>
              </w:rPr>
            </w:pPr>
            <w:r>
              <w:rPr>
                <w:rFonts w:hint="eastAsia" w:ascii="宋体" w:hAnsi="宋体" w:cs="宋体"/>
                <w:bCs/>
                <w:color w:val="000000"/>
                <w:kern w:val="0"/>
                <w:szCs w:val="21"/>
                <w:highlight w:val="none"/>
                <w:lang w:val="en-US"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iCs w:val="0"/>
                <w:color w:val="000000"/>
                <w:kern w:val="0"/>
                <w:sz w:val="22"/>
                <w:szCs w:val="22"/>
                <w:u w:val="none"/>
                <w:lang w:val="en-US" w:eastAsia="zh-CN" w:bidi="ar"/>
              </w:rPr>
              <w:t>197.73</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236.48</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2,457.35</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2,457.35</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67" w:type="dxa"/>
        <w:tblInd w:w="0" w:type="dxa"/>
        <w:tblLayout w:type="fixed"/>
        <w:tblCellMar>
          <w:top w:w="15" w:type="dxa"/>
          <w:left w:w="15" w:type="dxa"/>
          <w:bottom w:w="15" w:type="dxa"/>
          <w:right w:w="15" w:type="dxa"/>
        </w:tblCellMar>
      </w:tblPr>
      <w:tblGrid>
        <w:gridCol w:w="927"/>
        <w:gridCol w:w="993"/>
        <w:gridCol w:w="1005"/>
        <w:gridCol w:w="1169"/>
        <w:gridCol w:w="869"/>
        <w:gridCol w:w="693"/>
        <w:gridCol w:w="661"/>
        <w:gridCol w:w="750"/>
        <w:gridCol w:w="990"/>
        <w:gridCol w:w="810"/>
      </w:tblGrid>
      <w:tr>
        <w:tblPrEx>
          <w:tblCellMar>
            <w:top w:w="15" w:type="dxa"/>
            <w:left w:w="15" w:type="dxa"/>
            <w:bottom w:w="15" w:type="dxa"/>
            <w:right w:w="15" w:type="dxa"/>
          </w:tblCellMar>
        </w:tblPrEx>
        <w:trPr>
          <w:trHeight w:val="439"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0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1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3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993"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0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2,259.62</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1,069.22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1,190.39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2,119.11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1,069.23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1,049.88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732.40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403.72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328.68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132.91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126.86</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6.05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107.99</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101.99</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87.44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77.44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劳动人事争议调解仲裁</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315.63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9.00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306.63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272.08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272.08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离退休人员管理机构</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104.40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104.40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757.33</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363.33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394.00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2080711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752.38</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358.38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394.00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357.30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327.20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357.30</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327.20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农林水支出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农业农村</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2130199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val="en-US" w:eastAsia="zh-CN"/>
              </w:rPr>
              <w:t>本年支出</w:t>
            </w: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2,220.87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549.30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1,671.57</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2,080.36</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549.30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1,531.06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721.29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398.93</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322.36</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132.91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132.91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2080105</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2080106</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105.81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101.99</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3.83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87.44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75.60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11.83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2080112</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劳动人事争议调解仲裁</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306.70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306.70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272.08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150.37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2080502</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2080503</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离退休人员管理机构</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104.40</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104.40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2080506</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719.78</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719.78</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2080711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714.83</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714.83</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367.21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367.21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367.21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367.21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21301</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农业农村</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2130199</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140.51</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1,069.22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1,068.72</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1,068.72</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27"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23、债务还本支出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24、债务付息支出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highlight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highlight w:val="none"/>
              </w:rPr>
            </w:pP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lang w:val="en-US" w:eastAsia="zh-CN"/>
              </w:rPr>
              <w:t>25、抗疫特别国债安排支出</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szCs w:val="21"/>
                <w:highlight w:val="none"/>
                <w:lang w:val="en-US" w:eastAsia="zh-CN"/>
              </w:rPr>
            </w:pPr>
            <w:r>
              <w:rPr>
                <w:rFonts w:hint="eastAsia" w:ascii="宋体" w:hAnsi="宋体" w:cs="宋体"/>
                <w:b/>
                <w:color w:val="000000"/>
                <w:szCs w:val="21"/>
                <w:highlight w:val="none"/>
                <w:lang w:val="en-US" w:eastAsia="zh-CN"/>
              </w:rPr>
              <w:t>收入总计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1,069.22</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Cs w:val="21"/>
                <w:highlight w:val="none"/>
                <w:lang w:val="en-US" w:eastAsia="zh-CN"/>
              </w:rPr>
            </w:pPr>
            <w:r>
              <w:rPr>
                <w:rFonts w:hint="eastAsia" w:ascii="宋体" w:hAnsi="宋体" w:cs="宋体"/>
                <w:b/>
                <w:bCs/>
                <w:color w:val="000000"/>
                <w:kern w:val="0"/>
                <w:szCs w:val="21"/>
                <w:highlight w:val="none"/>
                <w:lang w:val="en-US" w:eastAsia="zh-CN"/>
              </w:rPr>
              <w:t>支出总计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1,068.72</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1,068.72</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年初财政拨款结转和结余</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3.57</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bCs/>
                <w:color w:val="000000"/>
                <w:kern w:val="0"/>
                <w:szCs w:val="21"/>
                <w:highlight w:val="none"/>
                <w:lang w:val="en-US" w:eastAsia="zh-CN"/>
              </w:rPr>
            </w:pPr>
            <w:r>
              <w:rPr>
                <w:rFonts w:hint="eastAsia" w:ascii="宋体" w:hAnsi="宋体" w:cs="宋体"/>
                <w:b/>
                <w:color w:val="000000"/>
                <w:szCs w:val="21"/>
                <w:highlight w:val="none"/>
                <w:lang w:val="en-US" w:eastAsia="zh-CN"/>
              </w:rPr>
              <w:t>年末财政拨款结转和结余</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4.07</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4.07</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一、一般公共预算财政拨款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3.57</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二、政府性基金预算财政拨款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三、国有资本经营预算财政拨款</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0.00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b/>
                <w:color w:val="000000"/>
                <w:szCs w:val="21"/>
                <w:highlight w:val="none"/>
                <w:lang w:val="en-US" w:eastAsia="zh-CN"/>
              </w:rPr>
            </w:pPr>
          </w:p>
        </w:tc>
        <w:tc>
          <w:tcPr>
            <w:tcW w:w="1134"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highlight w:val="none"/>
              </w:rPr>
            </w:pPr>
            <w:r>
              <w:rPr>
                <w:rFonts w:hint="eastAsia" w:ascii="宋体" w:hAnsi="宋体" w:eastAsia="宋体" w:cs="宋体"/>
                <w:i w:val="0"/>
                <w:iCs w:val="0"/>
                <w:color w:val="000000"/>
                <w:kern w:val="0"/>
                <w:sz w:val="22"/>
                <w:szCs w:val="22"/>
                <w:u w:val="none"/>
                <w:lang w:val="en-US" w:eastAsia="zh-CN" w:bidi="ar"/>
              </w:rPr>
              <w:t>1,072.80</w:t>
            </w:r>
          </w:p>
        </w:tc>
        <w:tc>
          <w:tcPr>
            <w:tcW w:w="2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总计</w:t>
            </w:r>
          </w:p>
        </w:tc>
        <w:tc>
          <w:tcPr>
            <w:tcW w:w="113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1,072.80</w:t>
            </w:r>
          </w:p>
        </w:tc>
        <w:tc>
          <w:tcPr>
            <w:tcW w:w="1102"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1,072.80</w:t>
            </w:r>
          </w:p>
        </w:tc>
        <w:tc>
          <w:tcPr>
            <w:tcW w:w="984" w:type="dxa"/>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0.00</w:t>
            </w:r>
          </w:p>
        </w:tc>
      </w:tr>
    </w:tbl>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1,068.72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543.25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530.53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525.47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1,068.73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543.25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530.53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12.72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525.48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403.22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392.88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381.36</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11.52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126.86</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126.86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121.60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5.25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劳动保障监察</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66.29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63.21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101.99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2080109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77.44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75.60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74.41</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2080112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劳动人事争议调解仲裁</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22.14</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2080199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8.50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8.50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272.08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150.37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149.17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35.77</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2080502</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10.20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2080503</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离退休人员管理机构</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104.40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104.40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103.20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2080506</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121.71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就业补助</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363.33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363.33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2080711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就业见习补贴</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2080799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358.38</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358.38</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2089901</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宋体" w:hAnsi="宋体" w:cs="宋体"/>
          <w:color w:val="000000"/>
          <w:kern w:val="0"/>
          <w:szCs w:val="21"/>
          <w:lang w:val="en-US" w:eastAsia="zh-CN"/>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keepNext w:val="0"/>
        <w:keepLines w:val="0"/>
        <w:widowControl/>
        <w:suppressLineNumbers w:val="0"/>
        <w:jc w:val="left"/>
        <w:rPr>
          <w:rFonts w:hint="eastAsia" w:ascii="宋体" w:hAnsi="宋体" w:cs="宋体"/>
          <w:color w:val="000000"/>
          <w:kern w:val="0"/>
          <w:szCs w:val="21"/>
          <w:lang w:val="en-US" w:eastAsia="zh-CN"/>
        </w:rPr>
      </w:pPr>
    </w:p>
    <w:p>
      <w:pPr>
        <w:keepNext w:val="0"/>
        <w:keepLines w:val="0"/>
        <w:widowControl/>
        <w:suppressLineNumbers w:val="0"/>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543.25</w:t>
            </w:r>
          </w:p>
        </w:tc>
        <w:tc>
          <w:tcPr>
            <w:tcW w:w="143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530.53</w:t>
            </w:r>
          </w:p>
        </w:tc>
        <w:tc>
          <w:tcPr>
            <w:tcW w:w="136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12.72</w:t>
            </w:r>
          </w:p>
        </w:tc>
        <w:tc>
          <w:tcPr>
            <w:tcW w:w="1155"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457.19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136.18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76.17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73.42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30106</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9.36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74.34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30.05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3.10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11.53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1.14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41.89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12.72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0.86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3.17</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0.26</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0.62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0.99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0.10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0.02</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5.01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1.41</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0.29</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73.34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30301</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45.97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0.36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30307</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24.69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30399</w:t>
            </w:r>
          </w:p>
        </w:tc>
        <w:tc>
          <w:tcPr>
            <w:tcW w:w="2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2.28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4.38</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1.94</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szCs w:val="21"/>
                <w:lang w:val="en-US" w:eastAsia="zh-CN"/>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4"/>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lang w:val="en-US" w:eastAsia="zh-CN"/>
        </w:rPr>
      </w:pPr>
    </w:p>
    <w:p>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国有资本经营预算财政拨款支出决算表</w:t>
      </w:r>
    </w:p>
    <w:p>
      <w:pPr>
        <w:jc w:val="righ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lang w:val="en-US" w:eastAsia="zh-CN"/>
        </w:rPr>
        <w:tab/>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 xml:space="preserve">编制部门：  </w:t>
      </w:r>
      <w:r>
        <w:rPr>
          <w:rFonts w:hint="eastAsia" w:ascii="宋体" w:hAnsi="宋体" w:cs="宋体"/>
          <w:b/>
          <w:bCs/>
          <w:szCs w:val="21"/>
          <w:lang w:val="en-US" w:eastAsia="zh-CN"/>
        </w:rPr>
        <w:t>杨陵区人力资源和社会保障局</w:t>
      </w:r>
      <w:r>
        <w:rPr>
          <w:rFonts w:hint="eastAsia" w:ascii="宋体" w:hAnsi="宋体" w:cs="宋体"/>
          <w:b/>
          <w:bCs/>
          <w:szCs w:val="21"/>
        </w:rPr>
        <w:t xml:space="preserve">                               金额单位：万元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gridSpan w:val="2"/>
            <w:noWrap w:val="0"/>
            <w:vAlign w:val="top"/>
          </w:tcPr>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项    目</w:t>
            </w:r>
          </w:p>
        </w:tc>
        <w:tc>
          <w:tcPr>
            <w:tcW w:w="5436" w:type="dxa"/>
            <w:gridSpan w:val="3"/>
            <w:noWrap w:val="0"/>
            <w:vAlign w:val="top"/>
          </w:tcPr>
          <w:p>
            <w:pPr>
              <w:jc w:val="center"/>
              <w:rPr>
                <w:rFonts w:hint="default"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科目编码</w:t>
            </w:r>
          </w:p>
        </w:tc>
        <w:tc>
          <w:tcPr>
            <w:tcW w:w="1812" w:type="dxa"/>
            <w:noWrap w:val="0"/>
            <w:vAlign w:val="top"/>
          </w:tcPr>
          <w:p>
            <w:pPr>
              <w:jc w:val="center"/>
              <w:rPr>
                <w:rFonts w:hint="eastAsia" w:ascii="黑体" w:hAnsi="宋体" w:eastAsia="黑体"/>
                <w:color w:val="000000"/>
                <w:kern w:val="0"/>
                <w:sz w:val="44"/>
                <w:szCs w:val="44"/>
                <w:vertAlign w:val="baseline"/>
                <w:lang w:bidi="ar"/>
              </w:rPr>
            </w:pPr>
            <w:r>
              <w:rPr>
                <w:rFonts w:hint="eastAsia" w:ascii="宋体" w:hAnsi="宋体" w:cs="宋体"/>
                <w:b/>
                <w:color w:val="000000"/>
                <w:kern w:val="0"/>
                <w:szCs w:val="21"/>
              </w:rPr>
              <w:t>科目名称</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小计</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基本支出</w:t>
            </w:r>
          </w:p>
        </w:tc>
        <w:tc>
          <w:tcPr>
            <w:tcW w:w="1812" w:type="dxa"/>
            <w:noWrap w:val="0"/>
            <w:vAlign w:val="center"/>
          </w:tcPr>
          <w:p>
            <w:pPr>
              <w:widowControl/>
              <w:jc w:val="center"/>
              <w:textAlignment w:val="center"/>
              <w:rPr>
                <w:rFonts w:hint="eastAsia" w:ascii="宋体" w:hAnsi="宋体" w:cs="宋体"/>
                <w:b/>
                <w:color w:val="000000"/>
                <w:kern w:val="2"/>
                <w:sz w:val="21"/>
                <w:szCs w:val="21"/>
                <w:lang w:val="en-US" w:eastAsia="zh-CN" w:bidi="ar-SA"/>
              </w:rPr>
            </w:pPr>
            <w:r>
              <w:rPr>
                <w:rFonts w:hint="eastAsia" w:ascii="宋体" w:hAnsi="宋体" w:cs="宋体"/>
                <w:b/>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624" w:type="dxa"/>
            <w:gridSpan w:val="2"/>
            <w:noWrap w:val="0"/>
            <w:vAlign w:val="top"/>
          </w:tcPr>
          <w:p>
            <w:pPr>
              <w:jc w:val="center"/>
              <w:rPr>
                <w:rFonts w:hint="eastAsia" w:ascii="宋体" w:hAnsi="宋体" w:cs="宋体"/>
                <w:b/>
                <w:color w:val="000000"/>
                <w:kern w:val="0"/>
                <w:szCs w:val="21"/>
              </w:rPr>
            </w:pPr>
          </w:p>
          <w:p>
            <w:pPr>
              <w:jc w:val="center"/>
              <w:rPr>
                <w:rFonts w:hint="eastAsia" w:ascii="黑体" w:hAnsi="宋体" w:eastAsia="黑体"/>
                <w:color w:val="000000"/>
                <w:kern w:val="0"/>
                <w:sz w:val="44"/>
                <w:szCs w:val="44"/>
                <w:vertAlign w:val="baseline"/>
                <w:lang w:val="en-US" w:eastAsia="zh-CN" w:bidi="ar"/>
              </w:rPr>
            </w:pPr>
            <w:r>
              <w:rPr>
                <w:rFonts w:hint="eastAsia" w:ascii="宋体" w:hAnsi="宋体" w:cs="宋体"/>
                <w:b/>
                <w:color w:val="000000"/>
                <w:kern w:val="0"/>
                <w:szCs w:val="21"/>
              </w:rPr>
              <w:t>合计</w:t>
            </w: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c>
          <w:tcPr>
            <w:tcW w:w="1812" w:type="dxa"/>
            <w:noWrap w:val="0"/>
            <w:vAlign w:val="top"/>
          </w:tcPr>
          <w:p>
            <w:pPr>
              <w:jc w:val="center"/>
              <w:rPr>
                <w:rFonts w:hint="eastAsia" w:ascii="黑体" w:hAnsi="宋体" w:eastAsia="黑体"/>
                <w:color w:val="000000"/>
                <w:kern w:val="0"/>
                <w:sz w:val="44"/>
                <w:szCs w:val="44"/>
                <w:vertAlign w:val="baseline"/>
                <w:lang w:bidi="ar"/>
              </w:rPr>
            </w:pPr>
          </w:p>
        </w:tc>
      </w:tr>
    </w:tbl>
    <w:p>
      <w:pPr>
        <w:keepNext w:val="0"/>
        <w:keepLines w:val="0"/>
        <w:widowControl/>
        <w:suppressLineNumbers w:val="0"/>
        <w:jc w:val="left"/>
        <w:rPr>
          <w:rFonts w:hint="eastAsia" w:ascii="黑体" w:hAnsi="宋体" w:eastAsia="黑体"/>
          <w:color w:val="000000"/>
          <w:kern w:val="0"/>
          <w:sz w:val="44"/>
          <w:szCs w:val="44"/>
          <w:lang w:bidi="ar"/>
        </w:rPr>
      </w:pPr>
      <w:r>
        <w:rPr>
          <w:rFonts w:hint="eastAsia" w:ascii="宋体" w:hAnsi="宋体" w:cs="宋体"/>
          <w:szCs w:val="21"/>
        </w:rPr>
        <w:t>注：本表反映部门本年度</w:t>
      </w:r>
      <w:r>
        <w:rPr>
          <w:rFonts w:hint="eastAsia" w:ascii="宋体" w:hAnsi="宋体" w:cs="宋体"/>
          <w:szCs w:val="21"/>
          <w:lang w:val="en-US" w:eastAsia="zh-CN"/>
        </w:rPr>
        <w:t>国有资本经营预算财政拨款支出情况</w:t>
      </w:r>
      <w:r>
        <w:rPr>
          <w:rFonts w:hint="eastAsia" w:ascii="宋体" w:hAnsi="宋体" w:cs="宋体"/>
          <w:szCs w:val="21"/>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w:t>
      </w:r>
      <w:r>
        <w:rPr>
          <w:rFonts w:hint="eastAsia" w:ascii="黑体" w:hAnsi="宋体" w:eastAsia="黑体"/>
          <w:color w:val="000000"/>
          <w:kern w:val="0"/>
          <w:sz w:val="44"/>
          <w:szCs w:val="44"/>
          <w:lang w:val="en-US" w:eastAsia="zh-CN" w:bidi="ar"/>
        </w:rPr>
        <w:t>020</w:t>
      </w:r>
      <w:r>
        <w:rPr>
          <w:rFonts w:hint="eastAsia" w:ascii="黑体" w:hAnsi="宋体" w:eastAsia="黑体"/>
          <w:color w:val="000000"/>
          <w:kern w:val="0"/>
          <w:sz w:val="44"/>
          <w:szCs w:val="44"/>
          <w:lang w:bidi="ar"/>
        </w:rPr>
        <w:t xml:space="preserve">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年收入</w:t>
      </w:r>
      <w:r>
        <w:rPr>
          <w:rFonts w:ascii="仿宋_GB2312" w:hAnsi="宋体" w:eastAsia="仿宋_GB2312" w:cs="仿宋_GB2312"/>
          <w:color w:val="000000"/>
          <w:kern w:val="0"/>
          <w:sz w:val="32"/>
          <w:szCs w:val="32"/>
          <w:lang w:bidi="ar"/>
        </w:rPr>
        <w:t>合计</w:t>
      </w:r>
      <w:r>
        <w:rPr>
          <w:rFonts w:hint="eastAsia" w:ascii="仿宋_GB2312" w:hAnsi="宋体" w:eastAsia="仿宋_GB2312" w:cs="仿宋_GB2312"/>
          <w:color w:val="000000"/>
          <w:kern w:val="0"/>
          <w:sz w:val="32"/>
          <w:szCs w:val="32"/>
          <w:lang w:val="en-US" w:eastAsia="zh-CN" w:bidi="ar"/>
        </w:rPr>
        <w:t>2259.62</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仿宋" w:eastAsia="仿宋_GB2312"/>
          <w:sz w:val="32"/>
          <w:szCs w:val="32"/>
        </w:rPr>
        <w:t>比上年减少</w:t>
      </w:r>
      <w:r>
        <w:rPr>
          <w:rFonts w:hint="eastAsia" w:ascii="仿宋_GB2312" w:hAnsi="仿宋" w:eastAsia="仿宋_GB2312"/>
          <w:sz w:val="32"/>
          <w:szCs w:val="32"/>
          <w:lang w:val="en-US" w:eastAsia="zh-CN"/>
        </w:rPr>
        <w:t>39.47万元</w:t>
      </w:r>
      <w:r>
        <w:rPr>
          <w:rFonts w:hint="eastAsia" w:ascii="仿宋_GB2312" w:hAnsi="仿宋" w:eastAsia="仿宋_GB2312"/>
          <w:sz w:val="32"/>
          <w:szCs w:val="32"/>
        </w:rPr>
        <w:t>，</w:t>
      </w:r>
      <w:r>
        <w:rPr>
          <w:rFonts w:hint="eastAsia" w:ascii="仿宋_GB2312" w:hAnsi="宋体" w:eastAsia="仿宋_GB2312" w:cs="仿宋_GB2312"/>
          <w:color w:val="000000"/>
          <w:kern w:val="0"/>
          <w:sz w:val="32"/>
          <w:szCs w:val="32"/>
          <w:lang w:bidi="ar"/>
        </w:rPr>
        <w:t>主要原</w:t>
      </w:r>
      <w:r>
        <w:rPr>
          <w:rFonts w:hint="eastAsia" w:ascii="仿宋_GB2312" w:hAnsi="宋体" w:eastAsia="仿宋_GB2312" w:cs="仿宋_GB2312"/>
          <w:color w:val="000000"/>
          <w:kern w:val="0"/>
          <w:sz w:val="32"/>
          <w:szCs w:val="32"/>
          <w:lang w:val="en-US" w:eastAsia="zh-CN" w:bidi="ar"/>
        </w:rPr>
        <w:t>因为项目支出减少</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仿宋" w:eastAsia="仿宋_GB2312"/>
          <w:sz w:val="32"/>
          <w:szCs w:val="32"/>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hint="eastAsia" w:ascii="仿宋_GB2312" w:hAnsi="宋体" w:eastAsia="仿宋_GB2312" w:cs="仿宋_GB2312"/>
          <w:color w:val="000000"/>
          <w:kern w:val="0"/>
          <w:sz w:val="32"/>
          <w:szCs w:val="32"/>
          <w:lang w:bidi="ar"/>
        </w:rPr>
        <w:t>年支出</w:t>
      </w:r>
      <w:r>
        <w:rPr>
          <w:rFonts w:ascii="仿宋_GB2312" w:hAnsi="宋体" w:eastAsia="仿宋_GB2312" w:cs="仿宋_GB2312"/>
          <w:color w:val="000000"/>
          <w:kern w:val="0"/>
          <w:sz w:val="32"/>
          <w:szCs w:val="32"/>
          <w:lang w:bidi="ar"/>
        </w:rPr>
        <w:t>合计</w:t>
      </w:r>
      <w:r>
        <w:rPr>
          <w:rFonts w:hint="eastAsia" w:ascii="仿宋_GB2312" w:hAnsi="宋体" w:eastAsia="仿宋_GB2312" w:cs="仿宋_GB2312"/>
          <w:color w:val="000000"/>
          <w:kern w:val="0"/>
          <w:sz w:val="32"/>
          <w:szCs w:val="32"/>
          <w:lang w:val="en-US" w:eastAsia="zh-CN" w:bidi="ar"/>
        </w:rPr>
        <w:t>2220.87</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bidi="ar"/>
        </w:rPr>
        <w:t>比上年减少</w:t>
      </w:r>
      <w:r>
        <w:rPr>
          <w:rFonts w:hint="eastAsia" w:ascii="仿宋_GB2312" w:hAnsi="宋体" w:eastAsia="仿宋_GB2312" w:cs="仿宋_GB2312"/>
          <w:color w:val="000000"/>
          <w:kern w:val="0"/>
          <w:sz w:val="32"/>
          <w:szCs w:val="32"/>
          <w:lang w:val="en-US" w:eastAsia="zh-CN" w:bidi="ar"/>
        </w:rPr>
        <w:t>77.52万元</w:t>
      </w:r>
      <w:r>
        <w:rPr>
          <w:rFonts w:hint="eastAsia" w:ascii="仿宋_GB2312" w:hAnsi="宋体" w:eastAsia="仿宋_GB2312" w:cs="仿宋_GB2312"/>
          <w:color w:val="000000"/>
          <w:kern w:val="0"/>
          <w:sz w:val="32"/>
          <w:szCs w:val="32"/>
          <w:lang w:bidi="ar"/>
        </w:rPr>
        <w:t>，主要原</w:t>
      </w:r>
      <w:r>
        <w:rPr>
          <w:rFonts w:hint="eastAsia" w:ascii="仿宋_GB2312" w:hAnsi="宋体" w:eastAsia="仿宋_GB2312" w:cs="仿宋_GB2312"/>
          <w:color w:val="000000"/>
          <w:kern w:val="0"/>
          <w:sz w:val="32"/>
          <w:szCs w:val="32"/>
          <w:lang w:val="en-US" w:eastAsia="zh-CN" w:bidi="ar"/>
        </w:rPr>
        <w:t>因为项</w:t>
      </w:r>
      <w:r>
        <w:rPr>
          <w:rFonts w:hint="eastAsia" w:ascii="仿宋_GB2312" w:hAnsi="仿宋" w:eastAsia="仿宋_GB2312"/>
          <w:sz w:val="32"/>
          <w:szCs w:val="32"/>
          <w:lang w:val="en-US" w:eastAsia="zh-CN"/>
        </w:rPr>
        <w:t>目支出减少。</w:t>
      </w:r>
    </w:p>
    <w:p>
      <w:pPr>
        <w:widowControl/>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080000" cy="3810000"/>
            <wp:effectExtent l="4445" t="4445" r="7620"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2259.62</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1069.22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47.32</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1190.39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52.68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7620" b="889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2220.87</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549.3</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24.73</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1671.57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75.27</w:t>
      </w:r>
      <w:r>
        <w:rPr>
          <w:rFonts w:ascii="仿宋_GB2312" w:hAnsi="宋体" w:eastAsia="仿宋_GB2312" w:cs="仿宋_GB2312"/>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7620" b="88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1069.22万元，比</w:t>
      </w:r>
      <w:r>
        <w:rPr>
          <w:rFonts w:hint="eastAsia" w:ascii="仿宋_GB2312" w:hAnsi="仿宋" w:eastAsia="仿宋_GB2312"/>
          <w:sz w:val="32"/>
          <w:szCs w:val="32"/>
        </w:rPr>
        <w:t>上年</w:t>
      </w:r>
      <w:r>
        <w:rPr>
          <w:rFonts w:hint="eastAsia" w:ascii="仿宋_GB2312" w:hAnsi="仿宋" w:eastAsia="仿宋_GB2312"/>
          <w:sz w:val="32"/>
          <w:szCs w:val="32"/>
          <w:lang w:val="en-US" w:eastAsia="zh-CN"/>
        </w:rPr>
        <w:t>1009.21万元</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5.95%</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为工资福利增加</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highlight w:val="none"/>
        </w:rPr>
        <w:drawing>
          <wp:inline distT="0" distB="0" distL="0" distR="0">
            <wp:extent cx="5494655" cy="1769110"/>
            <wp:effectExtent l="4445" t="4445"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val="en-US" w:eastAsia="zh-CN"/>
        </w:rPr>
        <w:t>1068.72万元，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1009.21万元</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5.9%</w:t>
      </w:r>
      <w:r>
        <w:rPr>
          <w:rFonts w:hint="eastAsia" w:ascii="仿宋_GB2312" w:hAnsi="仿宋" w:eastAsia="仿宋_GB2312"/>
          <w:sz w:val="32"/>
          <w:szCs w:val="32"/>
        </w:rPr>
        <w:t>，主要原因</w:t>
      </w:r>
      <w:r>
        <w:rPr>
          <w:rFonts w:hint="eastAsia" w:ascii="仿宋_GB2312" w:hAnsi="仿宋" w:eastAsia="仿宋_GB2312"/>
          <w:sz w:val="32"/>
          <w:szCs w:val="32"/>
          <w:lang w:val="en-US" w:eastAsia="zh-CN"/>
        </w:rPr>
        <w:t>为工资福利增加</w:t>
      </w:r>
      <w:r>
        <w:rPr>
          <w:rFonts w:hint="eastAsia" w:ascii="仿宋_GB2312" w:hAnsi="仿宋" w:eastAsia="仿宋_GB2312"/>
          <w:sz w:val="32"/>
          <w:szCs w:val="32"/>
        </w:rPr>
        <w:t>。</w:t>
      </w:r>
    </w:p>
    <w:p>
      <w:pPr>
        <w:widowControl/>
        <w:ind w:firstLine="640" w:firstLineChars="200"/>
        <w:jc w:val="left"/>
        <w:rPr>
          <w:rFonts w:hint="eastAsia" w:ascii="仿宋_GB2312" w:hAnsi="仿宋" w:eastAsia="仿宋_GB2312"/>
          <w:sz w:val="32"/>
          <w:szCs w:val="32"/>
        </w:rPr>
      </w:pPr>
      <w:r>
        <w:rPr>
          <w:rFonts w:ascii="仿宋_GB2312" w:hAnsi="仿宋" w:eastAsia="仿宋_GB2312"/>
          <w:sz w:val="32"/>
          <w:szCs w:val="32"/>
          <w:highlight w:val="none"/>
        </w:rPr>
        <w:drawing>
          <wp:inline distT="0" distB="0" distL="0" distR="0">
            <wp:extent cx="5289550" cy="1938655"/>
            <wp:effectExtent l="4445" t="4445" r="20955" b="1143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年财政拨款支出</w:t>
      </w:r>
      <w:r>
        <w:rPr>
          <w:rFonts w:hint="eastAsia" w:ascii="仿宋_GB2312" w:hAnsi="宋体" w:eastAsia="仿宋_GB2312" w:cs="仿宋_GB2312"/>
          <w:color w:val="000000"/>
          <w:kern w:val="0"/>
          <w:sz w:val="32"/>
          <w:szCs w:val="32"/>
          <w:lang w:val="en-US" w:eastAsia="zh-CN" w:bidi="ar"/>
        </w:rPr>
        <w:t>1068.72</w:t>
      </w:r>
      <w:r>
        <w:rPr>
          <w:rFonts w:ascii="仿宋_GB2312" w:hAnsi="宋体" w:eastAsia="仿宋_GB2312" w:cs="仿宋_GB2312"/>
          <w:color w:val="000000"/>
          <w:kern w:val="0"/>
          <w:sz w:val="32"/>
          <w:szCs w:val="32"/>
          <w:lang w:bidi="ar"/>
        </w:rPr>
        <w:t xml:space="preserve">万元，占本年支出合 </w:t>
      </w:r>
    </w:p>
    <w:p>
      <w:pPr>
        <w:widowControl/>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48.12</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59.51</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5.9</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 w:eastAsia="仿宋_GB2312"/>
          <w:sz w:val="32"/>
          <w:szCs w:val="32"/>
          <w:lang w:val="en-US" w:eastAsia="zh-CN"/>
        </w:rPr>
        <w:t>工资福利增加</w:t>
      </w:r>
      <w:r>
        <w:rPr>
          <w:rFonts w:hint="eastAsia" w:ascii="仿宋_GB2312" w:hAnsi="宋体" w:eastAsia="仿宋_GB2312" w:cs="仿宋_GB2312"/>
          <w:color w:val="000000"/>
          <w:kern w:val="0"/>
          <w:sz w:val="32"/>
          <w:szCs w:val="32"/>
          <w:lang w:bidi="ar"/>
        </w:rPr>
        <w:t>。</w:t>
      </w:r>
    </w:p>
    <w:p>
      <w:pPr>
        <w:widowControl/>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7620"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 xml:space="preserve"> 年财政拨款支出年初预算为</w:t>
      </w:r>
      <w:r>
        <w:rPr>
          <w:rFonts w:hint="eastAsia" w:ascii="仿宋_GB2312" w:hAnsi="宋体" w:eastAsia="仿宋_GB2312" w:cs="仿宋_GB2312"/>
          <w:color w:val="000000"/>
          <w:kern w:val="0"/>
          <w:sz w:val="32"/>
          <w:szCs w:val="32"/>
          <w:lang w:val="en-US" w:eastAsia="zh-CN" w:bidi="ar"/>
        </w:rPr>
        <w:t>9483.92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1068.72</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11.27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1.</w:t>
      </w: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 xml:space="preserve">（款）行政运行（项）。 </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125.91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126.86</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100.75</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工资福利增长</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劳动保障监察</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74.21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66.29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89.33</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就业管理事务</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98.98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101.99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103.04</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工资福利增长</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社会保险经办机构</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73.38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77.44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105.53</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工资福利增长</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劳动人事争议调解仲裁</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年初预算为0万元，支出决算为22.14万元，主要原因是预算时仲裁院人员工资和局机关一同核算，未单独预算。</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人力资源和社会保障管理事务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其他人力资源和社会保障管理事务支出</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8.5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85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行政事业单位养老支出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行政单位离退休</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年初预算为0万元，支出决算为35.77万元，主要原因是科目变更。</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行政事业单位养老支出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事业单位离退休</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年初预算为0万元，支出决算为10.2万元，主要原因是科目变更。</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行政事业单位养老支出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离退休人员管理机构</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74.04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104.4</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141</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支出科目变更</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行政事业单位养老支出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机关事业单位职业年金缴费支出</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140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121.71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86.94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就业补助</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就业见习补贴</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4.95</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99</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项目支出减少</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就业补助</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其他就业补助支出</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45.72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358.38</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783.86</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支出科目变更</w:t>
      </w:r>
      <w:r>
        <w:rPr>
          <w:rFonts w:hint="eastAsia" w:ascii="仿宋_GB2312" w:hAnsi="宋体" w:eastAsia="仿宋_GB2312" w:cs="仿宋_GB2312"/>
          <w:color w:val="000000"/>
          <w:kern w:val="0"/>
          <w:sz w:val="32"/>
          <w:szCs w:val="32"/>
          <w:lang w:bidi="ar"/>
        </w:rPr>
        <w:t>。</w:t>
      </w:r>
    </w:p>
    <w:p>
      <w:pPr>
        <w:widowControl/>
        <w:numPr>
          <w:ilvl w:val="0"/>
          <w:numId w:val="1"/>
        </w:numPr>
        <w:ind w:firstLine="643" w:firstLineChars="200"/>
        <w:jc w:val="left"/>
        <w:rPr>
          <w:rFonts w:hint="eastAsia" w:ascii="仿宋_GB2312" w:hAnsi="宋体" w:eastAsia="仿宋_GB2312" w:cs="仿宋_GB2312"/>
          <w:b/>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其他社会保障和就业支出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其他社会保障和就业支出</w:t>
      </w:r>
      <w:r>
        <w:rPr>
          <w:rFonts w:ascii="仿宋_GB2312" w:hAnsi="宋体" w:eastAsia="仿宋_GB2312" w:cs="仿宋_GB2312"/>
          <w:b/>
          <w:color w:val="000000"/>
          <w:kern w:val="0"/>
          <w:sz w:val="32"/>
          <w:szCs w:val="32"/>
          <w:lang w:bidi="ar"/>
        </w:rPr>
        <w:t>（项）。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b/>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1615.1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30.1</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1.86</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val="en-US" w:eastAsia="zh-CN" w:bidi="ar"/>
        </w:rPr>
        <w:t>小于</w:t>
      </w:r>
      <w:r>
        <w:rPr>
          <w:rFonts w:ascii="仿宋_GB2312" w:hAnsi="宋体" w:eastAsia="仿宋_GB2312" w:cs="仿宋_GB2312"/>
          <w:color w:val="000000"/>
          <w:kern w:val="0"/>
          <w:sz w:val="32"/>
          <w:szCs w:val="32"/>
          <w:lang w:bidi="ar"/>
        </w:rPr>
        <w:t>预算数的主要原因是</w:t>
      </w:r>
      <w:r>
        <w:rPr>
          <w:rFonts w:hint="eastAsia" w:ascii="仿宋_GB2312" w:hAnsi="宋体" w:eastAsia="仿宋_GB2312" w:cs="仿宋_GB2312"/>
          <w:color w:val="000000"/>
          <w:kern w:val="0"/>
          <w:sz w:val="32"/>
          <w:szCs w:val="32"/>
          <w:lang w:val="en-US" w:eastAsia="zh-CN" w:bidi="ar"/>
        </w:rPr>
        <w:t>支出科目变更</w:t>
      </w:r>
      <w:r>
        <w:rPr>
          <w:rFonts w:hint="eastAsia" w:ascii="仿宋_GB2312" w:hAnsi="宋体" w:eastAsia="仿宋_GB2312" w:cs="仿宋_GB2312"/>
          <w:color w:val="000000"/>
          <w:kern w:val="0"/>
          <w:sz w:val="32"/>
          <w:szCs w:val="32"/>
          <w:lang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highlight w:val="none"/>
          <w:lang w:bidi="ar"/>
        </w:rPr>
        <w:t>20</w:t>
      </w:r>
      <w:r>
        <w:rPr>
          <w:rFonts w:hint="eastAsia" w:ascii="仿宋_GB2312" w:hAnsi="仿宋_GB2312" w:eastAsia="仿宋_GB2312" w:cs="仿宋_GB2312"/>
          <w:color w:val="000000"/>
          <w:kern w:val="0"/>
          <w:sz w:val="31"/>
          <w:szCs w:val="31"/>
          <w:highlight w:val="none"/>
          <w:lang w:val="en-US" w:eastAsia="zh-CN" w:bidi="ar"/>
        </w:rPr>
        <w:t>20</w:t>
      </w:r>
      <w:r>
        <w:rPr>
          <w:rFonts w:ascii="仿宋_GB2312" w:hAnsi="仿宋_GB2312" w:eastAsia="仿宋_GB2312" w:cs="仿宋_GB2312"/>
          <w:color w:val="000000"/>
          <w:kern w:val="0"/>
          <w:sz w:val="31"/>
          <w:szCs w:val="31"/>
          <w:highlight w:val="none"/>
          <w:lang w:bidi="ar"/>
        </w:rPr>
        <w:t>年一般公共预算财政拨款基本支出</w:t>
      </w:r>
      <w:r>
        <w:rPr>
          <w:rFonts w:hint="eastAsia" w:ascii="仿宋_GB2312" w:hAnsi="仿宋_GB2312" w:eastAsia="仿宋_GB2312" w:cs="仿宋_GB2312"/>
          <w:color w:val="000000"/>
          <w:kern w:val="0"/>
          <w:sz w:val="31"/>
          <w:szCs w:val="31"/>
          <w:highlight w:val="none"/>
          <w:lang w:val="en-US" w:eastAsia="zh-CN" w:bidi="ar"/>
        </w:rPr>
        <w:t>543.25</w:t>
      </w:r>
      <w:r>
        <w:rPr>
          <w:rFonts w:ascii="仿宋_GB2312" w:hAnsi="仿宋_GB2312" w:eastAsia="仿宋_GB2312" w:cs="仿宋_GB2312"/>
          <w:color w:val="000000"/>
          <w:kern w:val="0"/>
          <w:sz w:val="31"/>
          <w:szCs w:val="31"/>
          <w:highlight w:val="none"/>
          <w:lang w:bidi="ar"/>
        </w:rPr>
        <w:t>万元，包括：人员经费支出</w:t>
      </w:r>
      <w:r>
        <w:rPr>
          <w:rFonts w:hint="eastAsia" w:ascii="仿宋_GB2312" w:hAnsi="仿宋_GB2312" w:eastAsia="仿宋_GB2312" w:cs="仿宋_GB2312"/>
          <w:color w:val="000000"/>
          <w:kern w:val="0"/>
          <w:sz w:val="31"/>
          <w:szCs w:val="31"/>
          <w:highlight w:val="none"/>
          <w:lang w:val="en-US" w:eastAsia="zh-CN" w:bidi="ar"/>
        </w:rPr>
        <w:t>530.53</w:t>
      </w:r>
      <w:r>
        <w:rPr>
          <w:rFonts w:ascii="仿宋_GB2312" w:hAnsi="仿宋_GB2312" w:eastAsia="仿宋_GB2312" w:cs="仿宋_GB2312"/>
          <w:color w:val="000000"/>
          <w:kern w:val="0"/>
          <w:sz w:val="31"/>
          <w:szCs w:val="31"/>
          <w:highlight w:val="none"/>
          <w:lang w:bidi="ar"/>
        </w:rPr>
        <w:t>万元和公用经费支出</w:t>
      </w:r>
      <w:r>
        <w:rPr>
          <w:rFonts w:hint="eastAsia" w:ascii="仿宋_GB2312" w:hAnsi="仿宋_GB2312" w:eastAsia="仿宋_GB2312" w:cs="仿宋_GB2312"/>
          <w:color w:val="000000"/>
          <w:kern w:val="0"/>
          <w:sz w:val="31"/>
          <w:szCs w:val="31"/>
          <w:highlight w:val="none"/>
          <w:lang w:val="en-US" w:eastAsia="zh-CN" w:bidi="ar"/>
        </w:rPr>
        <w:t>12.72</w:t>
      </w:r>
      <w:r>
        <w:rPr>
          <w:rFonts w:ascii="仿宋_GB2312" w:hAnsi="仿宋_GB2312" w:eastAsia="仿宋_GB2312" w:cs="仿宋_GB2312"/>
          <w:color w:val="000000"/>
          <w:kern w:val="0"/>
          <w:sz w:val="31"/>
          <w:szCs w:val="31"/>
          <w:highlight w:val="none"/>
          <w:lang w:bidi="ar"/>
        </w:rPr>
        <w:t>万元。</w:t>
      </w:r>
    </w:p>
    <w:p>
      <w:pPr>
        <w:widowControl/>
        <w:ind w:firstLine="643"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530.53</w:t>
      </w:r>
      <w:r>
        <w:rPr>
          <w:rFonts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highlight w:val="none"/>
          <w:lang w:bidi="ar"/>
        </w:rPr>
        <w:t>主要包括基本工资</w:t>
      </w:r>
      <w:r>
        <w:rPr>
          <w:rFonts w:hint="eastAsia" w:ascii="仿宋_GB2312" w:hAnsi="宋体" w:eastAsia="仿宋_GB2312" w:cs="仿宋_GB2312"/>
          <w:color w:val="000000"/>
          <w:kern w:val="0"/>
          <w:sz w:val="32"/>
          <w:szCs w:val="32"/>
          <w:highlight w:val="none"/>
          <w:lang w:val="en-US" w:eastAsia="zh-CN" w:bidi="ar"/>
        </w:rPr>
        <w:t>136.18</w:t>
      </w:r>
      <w:r>
        <w:rPr>
          <w:rFonts w:hint="eastAsia" w:ascii="仿宋_GB2312" w:hAnsi="宋体" w:eastAsia="仿宋_GB2312" w:cs="仿宋_GB2312"/>
          <w:color w:val="000000"/>
          <w:kern w:val="0"/>
          <w:sz w:val="32"/>
          <w:szCs w:val="32"/>
          <w:highlight w:val="none"/>
          <w:lang w:bidi="ar"/>
        </w:rPr>
        <w:t>万元</w:t>
      </w:r>
      <w:r>
        <w:rPr>
          <w:rFonts w:hint="eastAsia" w:ascii="仿宋_GB2312" w:hAnsi="宋体" w:eastAsia="仿宋_GB2312" w:cs="仿宋_GB2312"/>
          <w:color w:val="000000"/>
          <w:kern w:val="0"/>
          <w:sz w:val="32"/>
          <w:szCs w:val="32"/>
          <w:highlight w:val="none"/>
          <w:lang w:eastAsia="zh-CN" w:bidi="ar"/>
        </w:rPr>
        <w:t>、津贴补贴</w:t>
      </w:r>
      <w:r>
        <w:rPr>
          <w:rFonts w:hint="eastAsia" w:ascii="仿宋_GB2312" w:hAnsi="宋体" w:eastAsia="仿宋_GB2312" w:cs="仿宋_GB2312"/>
          <w:color w:val="000000"/>
          <w:kern w:val="0"/>
          <w:sz w:val="32"/>
          <w:szCs w:val="32"/>
          <w:highlight w:val="none"/>
          <w:lang w:val="en-US" w:eastAsia="zh-CN" w:bidi="ar"/>
        </w:rPr>
        <w:t>76.17万元、奖金73.42万元、伙食补助费9.36万元、绩效工资74.34万元、机关事业单位基本养老保险缴费30.05万元、职业年金缴费3.1万元、职工基本医疗保险缴费11.53、其他社会保险缴费1.14万元、住房公积金41.89万元、离休费45.97万元、生活补助0.36万元、医疗费补助24.69万元、奖励金0.4万元、其他对个人和家庭补助2.28万元</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12.72</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0.86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印刷费3.17万元、水费0.26万元、电费0.62万元、邮电费0.99万元、差旅费0.1万元、维护费0.02万元、工会经费5.01万元、其他交通费用1.41万元、其他商品和服务支出0.29万元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4.38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4.38</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无“三公”开支</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w:t>
      </w:r>
      <w:r>
        <w:rPr>
          <w:rFonts w:hint="eastAsia" w:ascii="仿宋_GB2312" w:hAnsi="宋体" w:eastAsia="仿宋_GB2312" w:cs="仿宋_GB2312"/>
          <w:color w:val="000000"/>
          <w:kern w:val="0"/>
          <w:sz w:val="32"/>
          <w:szCs w:val="32"/>
          <w:lang w:val="en-US" w:eastAsia="zh-CN" w:bidi="ar"/>
        </w:rPr>
        <w:t>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1.94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年公务接待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2.44</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w:t>
      </w:r>
      <w:r>
        <w:rPr>
          <w:rFonts w:hint="eastAsia" w:ascii="黑体" w:hAnsi="黑体" w:eastAsia="黑体"/>
          <w:color w:val="000000"/>
          <w:kern w:val="0"/>
          <w:sz w:val="32"/>
          <w:szCs w:val="32"/>
          <w:lang w:bidi="ar"/>
        </w:rPr>
        <w:t>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numPr>
          <w:ilvl w:val="0"/>
          <w:numId w:val="0"/>
        </w:numPr>
        <w:ind w:firstLine="640" w:firstLineChars="200"/>
        <w:jc w:val="left"/>
        <w:rPr>
          <w:rFonts w:hint="default" w:ascii="仿宋" w:hAnsi="仿宋" w:eastAsia="仿宋_GB2312" w:cs="楷体"/>
          <w:color w:val="0000FF"/>
          <w:kern w:val="0"/>
          <w:sz w:val="32"/>
          <w:szCs w:val="32"/>
          <w:lang w:val="en-US" w:eastAsia="zh-CN" w:bidi="ar"/>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w:t>
      </w:r>
      <w:r>
        <w:rPr>
          <w:rFonts w:hint="eastAsia" w:ascii="仿宋_GB2312" w:hAnsi="仿宋_GB2312" w:eastAsia="仿宋_GB2312" w:cs="仿宋_GB2312"/>
          <w:sz w:val="32"/>
          <w:szCs w:val="32"/>
          <w:lang w:val="en-US" w:eastAsia="zh-CN"/>
        </w:rPr>
        <w:t>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12.72</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124.71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2.52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人员增加和办公支出增加。</w:t>
      </w:r>
    </w:p>
    <w:p>
      <w:pPr>
        <w:widowControl/>
        <w:ind w:firstLine="640" w:firstLineChars="200"/>
        <w:jc w:val="left"/>
        <w:rPr>
          <w:rFonts w:hint="eastAsia" w:ascii="黑体" w:hAnsi="黑体" w:eastAsia="黑体"/>
          <w:color w:val="000000"/>
          <w:kern w:val="0"/>
          <w:sz w:val="32"/>
          <w:szCs w:val="32"/>
          <w:lang w:val="en-US" w:eastAsia="zh-CN" w:bidi="ar"/>
        </w:rPr>
      </w:pPr>
      <w:r>
        <w:rPr>
          <w:rFonts w:hint="eastAsia" w:ascii="黑体" w:hAnsi="黑体" w:eastAsia="黑体"/>
          <w:color w:val="000000"/>
          <w:kern w:val="0"/>
          <w:sz w:val="32"/>
          <w:szCs w:val="32"/>
          <w:lang w:val="en-US" w:eastAsia="zh-CN" w:bidi="ar"/>
        </w:rPr>
        <w:t xml:space="preserve">十一、政府采购支出情况说明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年无政府采购支出</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ind w:firstLine="640" w:firstLineChars="200"/>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val="en-US"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rPr>
          <w:rFonts w:hint="eastAsia" w:eastAsia="仿宋_GB2312"/>
          <w:color w:val="auto"/>
          <w:lang w:eastAsia="zh-CN"/>
        </w:rPr>
      </w:pPr>
      <w:r>
        <w:rPr>
          <w:rFonts w:hint="eastAsia" w:ascii="仿宋_GB2312" w:hAnsi="仿宋_GB2312" w:eastAsia="仿宋_GB2312" w:cs="仿宋_GB2312"/>
          <w:sz w:val="32"/>
          <w:szCs w:val="32"/>
        </w:rPr>
        <w:t>根据预算绩效管理要求，本部门组织对 20</w:t>
      </w:r>
      <w:r>
        <w:rPr>
          <w:rFonts w:hint="eastAsia" w:ascii="仿宋_GB2312" w:hAnsi="仿宋_GB2312" w:eastAsia="仿宋_GB2312" w:cs="仿宋_GB2312"/>
          <w:sz w:val="32"/>
          <w:szCs w:val="32"/>
          <w:lang w:val="en-US" w:eastAsia="zh-CN"/>
        </w:rPr>
        <w:t>20</w:t>
      </w:r>
      <w:r>
        <w:rPr>
          <w:rFonts w:ascii="仿宋_GB2312" w:hAnsi="仿宋_GB2312" w:eastAsia="仿宋_GB2312" w:cs="仿宋_GB2312"/>
          <w:sz w:val="32"/>
          <w:szCs w:val="32"/>
        </w:rPr>
        <w:t>年一般公共预算项目支出全面开展绩效自评，共涉及资金</w:t>
      </w:r>
      <w:r>
        <w:rPr>
          <w:rFonts w:hint="eastAsia" w:ascii="仿宋_GB2312" w:hAnsi="仿宋_GB2312" w:eastAsia="仿宋_GB2312" w:cs="仿宋_GB2312"/>
          <w:sz w:val="32"/>
          <w:szCs w:val="32"/>
          <w:lang w:val="en-US" w:eastAsia="zh-CN"/>
        </w:rPr>
        <w:t>525.47</w:t>
      </w:r>
      <w:r>
        <w:rPr>
          <w:rFonts w:ascii="仿宋_GB2312" w:hAnsi="仿宋_GB2312" w:eastAsia="仿宋_GB2312" w:cs="仿宋_GB2312"/>
          <w:sz w:val="32"/>
          <w:szCs w:val="32"/>
        </w:rPr>
        <w:t>万</w:t>
      </w:r>
      <w:r>
        <w:rPr>
          <w:rFonts w:ascii="仿宋_GB2312" w:hAnsi="仿宋_GB2312" w:eastAsia="仿宋_GB2312" w:cs="仿宋_GB2312"/>
          <w:color w:val="auto"/>
          <w:sz w:val="32"/>
          <w:szCs w:val="32"/>
        </w:rPr>
        <w:t>元，占一般公共预算项目支出总额的</w:t>
      </w:r>
      <w:r>
        <w:rPr>
          <w:rFonts w:hint="eastAsia" w:ascii="仿宋_GB2312" w:hAnsi="仿宋_GB2312" w:eastAsia="仿宋_GB2312" w:cs="仿宋_GB2312"/>
          <w:color w:val="auto"/>
          <w:sz w:val="32"/>
          <w:szCs w:val="32"/>
          <w:lang w:val="en-US" w:eastAsia="zh-CN"/>
        </w:rPr>
        <w:t>100</w:t>
      </w:r>
      <w:r>
        <w:rPr>
          <w:rFonts w:ascii="仿宋_GB2312" w:hAnsi="仿宋_GB2312" w:eastAsia="仿宋_GB2312" w:cs="仿宋_GB2312"/>
          <w:color w:val="auto"/>
          <w:sz w:val="32"/>
          <w:szCs w:val="32"/>
        </w:rPr>
        <w:t>%。</w:t>
      </w:r>
      <w:r>
        <w:rPr>
          <w:rFonts w:ascii="仿宋_GB2312" w:hAnsi="仿宋_GB2312" w:eastAsia="仿宋_GB2312" w:cs="仿宋_GB2312"/>
          <w:color w:val="auto"/>
          <w:kern w:val="0"/>
          <w:sz w:val="31"/>
          <w:szCs w:val="31"/>
          <w:lang w:bidi="ar"/>
        </w:rPr>
        <w:t>组织对 20</w:t>
      </w:r>
      <w:r>
        <w:rPr>
          <w:rFonts w:hint="eastAsia" w:ascii="仿宋_GB2312" w:hAnsi="仿宋_GB2312" w:eastAsia="仿宋_GB2312" w:cs="仿宋_GB2312"/>
          <w:color w:val="auto"/>
          <w:kern w:val="0"/>
          <w:sz w:val="31"/>
          <w:szCs w:val="31"/>
          <w:lang w:val="en-US" w:eastAsia="zh-CN" w:bidi="ar"/>
        </w:rPr>
        <w:t>20</w:t>
      </w:r>
      <w:r>
        <w:rPr>
          <w:rFonts w:ascii="仿宋_GB2312" w:hAnsi="仿宋_GB2312" w:eastAsia="仿宋_GB2312" w:cs="仿宋_GB2312"/>
          <w:color w:val="auto"/>
          <w:kern w:val="0"/>
          <w:sz w:val="31"/>
          <w:szCs w:val="31"/>
          <w:lang w:bidi="ar"/>
        </w:rPr>
        <w:t>年</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bidi="ar"/>
        </w:rPr>
        <w:t>个政府性基金预算项目支出开展绩效自评，共涉及资金</w:t>
      </w:r>
      <w:r>
        <w:rPr>
          <w:rFonts w:hint="eastAsia" w:ascii="仿宋_GB2312" w:hAnsi="仿宋_GB2312" w:eastAsia="仿宋_GB2312" w:cs="仿宋_GB2312"/>
          <w:color w:val="auto"/>
          <w:kern w:val="0"/>
          <w:sz w:val="31"/>
          <w:szCs w:val="31"/>
          <w:lang w:val="en-US" w:eastAsia="zh-CN" w:bidi="ar"/>
        </w:rPr>
        <w:t>0</w:t>
      </w:r>
      <w:r>
        <w:rPr>
          <w:rFonts w:ascii="仿宋_GB2312" w:hAnsi="仿宋_GB2312" w:eastAsia="仿宋_GB2312" w:cs="仿宋_GB2312"/>
          <w:color w:val="auto"/>
          <w:kern w:val="0"/>
          <w:sz w:val="31"/>
          <w:szCs w:val="31"/>
          <w:lang w:bidi="ar"/>
        </w:rPr>
        <w:t>万元</w:t>
      </w:r>
      <w:r>
        <w:rPr>
          <w:rFonts w:hint="eastAsia" w:ascii="仿宋_GB2312" w:hAnsi="仿宋_GB2312" w:eastAsia="仿宋_GB2312" w:cs="仿宋_GB2312"/>
          <w:color w:val="auto"/>
          <w:kern w:val="0"/>
          <w:sz w:val="31"/>
          <w:szCs w:val="31"/>
          <w:lang w:val="en-US" w:eastAsia="zh-CN" w:bidi="ar"/>
        </w:rPr>
        <w:t>.</w:t>
      </w:r>
    </w:p>
    <w:p>
      <w:pPr>
        <w:widowControl/>
        <w:ind w:firstLine="420" w:firstLineChars="200"/>
        <w:jc w:val="left"/>
      </w:pPr>
    </w:p>
    <w:p>
      <w:pPr>
        <w:widowControl/>
        <w:ind w:firstLine="643" w:firstLineChars="200"/>
        <w:jc w:val="left"/>
        <w:rPr>
          <w:rFonts w:ascii="仿宋_GB2312" w:hAnsi="仿宋_GB2312" w:eastAsia="仿宋_GB2312" w:cs="仿宋_GB2312"/>
          <w:color w:val="000000"/>
          <w:kern w:val="0"/>
          <w:sz w:val="31"/>
          <w:szCs w:val="31"/>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r>
        <w:rPr>
          <w:rFonts w:ascii="仿宋_GB2312" w:hAnsi="仿宋_GB2312" w:eastAsia="仿宋_GB2312" w:cs="仿宋_GB2312"/>
          <w:color w:val="000000"/>
          <w:kern w:val="0"/>
          <w:sz w:val="31"/>
          <w:szCs w:val="31"/>
          <w:lang w:bidi="ar"/>
        </w:rPr>
        <w:t xml:space="preserve"> </w:t>
      </w:r>
    </w:p>
    <w:p>
      <w:pPr>
        <w:widowControl/>
        <w:ind w:firstLine="620" w:firstLineChars="200"/>
        <w:jc w:val="left"/>
      </w:pPr>
      <w:r>
        <w:rPr>
          <w:rFonts w:hint="eastAsia" w:ascii="仿宋_GB2312" w:hAnsi="仿宋_GB2312" w:eastAsia="仿宋_GB2312" w:cs="仿宋_GB2312"/>
          <w:color w:val="000000"/>
          <w:kern w:val="0"/>
          <w:sz w:val="31"/>
          <w:szCs w:val="31"/>
          <w:lang w:val="en-US" w:eastAsia="zh-CN" w:bidi="ar"/>
        </w:rPr>
        <w:t>部门整体支出</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9048.303</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525.47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5.81</w:t>
      </w:r>
      <w:r>
        <w:rPr>
          <w:rFonts w:ascii="仿宋_GB2312" w:hAnsi="仿宋_GB2312" w:eastAsia="仿宋_GB2312" w:cs="仿宋_GB2312"/>
          <w:color w:val="000000"/>
          <w:kern w:val="0"/>
          <w:sz w:val="31"/>
          <w:szCs w:val="31"/>
          <w:lang w:bidi="ar"/>
        </w:rPr>
        <w:t>%。主要产出和效果：通过项目实施</w:t>
      </w:r>
      <w:r>
        <w:rPr>
          <w:rFonts w:hint="eastAsia" w:ascii="仿宋_GB2312" w:hAnsi="仿宋_GB2312" w:eastAsia="仿宋_GB2312" w:cs="仿宋_GB2312"/>
          <w:color w:val="000000"/>
          <w:kern w:val="0"/>
          <w:sz w:val="31"/>
          <w:szCs w:val="31"/>
          <w:lang w:val="en-US" w:eastAsia="zh-CN" w:bidi="ar"/>
        </w:rPr>
        <w:t>居民可支配收入不断提高、城乡居民社会保障力度不断加强</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发现的问题及原因：</w:t>
      </w:r>
      <w:r>
        <w:rPr>
          <w:rFonts w:hint="eastAsia" w:ascii="仿宋_GB2312" w:hAnsi="仿宋_GB2312" w:eastAsia="仿宋_GB2312" w:cs="仿宋_GB2312"/>
          <w:color w:val="000000"/>
          <w:kern w:val="0"/>
          <w:sz w:val="31"/>
          <w:szCs w:val="31"/>
          <w:lang w:val="en-US" w:eastAsia="zh-CN" w:bidi="ar"/>
        </w:rPr>
        <w:t>因退休人员工资、机关事业单位养老保险单位缴纳部分、城乡居民社会养老保险配套基金、被征地农民社会保障五项补助等预算项目直接划拨至社保基金专户，不在部门决算数据中体现，故完成率明显偏低</w:t>
      </w:r>
      <w:r>
        <w:rPr>
          <w:rFonts w:hint="eastAsia" w:ascii="仿宋_GB2312" w:hAnsi="仿宋_GB2312" w:eastAsia="仿宋_GB2312" w:cs="仿宋_GB2312"/>
          <w:color w:val="000000"/>
          <w:kern w:val="0"/>
          <w:sz w:val="31"/>
          <w:szCs w:val="31"/>
          <w:lang w:bidi="ar"/>
        </w:rPr>
        <w:t>。</w:t>
      </w: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headerReference r:id="rId3" w:type="default"/>
          <w:footerReference r:id="rId4" w:type="default"/>
          <w:pgSz w:w="11906" w:h="16838"/>
          <w:pgMar w:top="1701" w:right="1588" w:bottom="1701" w:left="1474" w:header="851" w:footer="992" w:gutter="0"/>
          <w:pgNumType w:fmt="numberInDash"/>
          <w:cols w:space="0" w:num="1"/>
          <w:rtlGutter w:val="0"/>
          <w:docGrid w:type="lines" w:linePitch="315" w:charSpace="0"/>
        </w:sectPr>
      </w:pPr>
      <w:r>
        <w:rPr>
          <w:rFonts w:hint="eastAsia" w:ascii="楷体" w:hAnsi="楷体" w:eastAsia="楷体" w:cs="楷体"/>
          <w:sz w:val="32"/>
          <w:szCs w:val="32"/>
        </w:rPr>
        <w:object>
          <v:shape id="_x0000_i1025" o:spt="75" type="#_x0000_t75" style="height:591.8pt;width:469.75pt;" o:ole="t" filled="f" o:preferrelative="t" stroked="f" coordsize="21600,21600">
            <v:path/>
            <v:fill on="f" focussize="0,0"/>
            <v:stroke on="f"/>
            <v:imagedata r:id="rId20" o:title=""/>
            <o:lock v:ext="edit" aspectratio="t"/>
            <w10:wrap type="none"/>
            <w10:anchorlock/>
          </v:shape>
          <o:OLEObject Type="Embed" ProgID="Excel.Sheet.8" ShapeID="_x0000_i1025" DrawAspect="Content" ObjectID="_1468075725" r:id="rId19">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type="#_x0000_t75" style="height:1336.6pt;width:631.6pt;" o:ole="t" filled="f" o:preferrelative="t" stroked="f" coordsize="21600,21600">
            <v:path/>
            <v:fill on="f" focussize="0,0"/>
            <v:stroke on="f"/>
            <v:imagedata r:id="rId22" o:title=""/>
            <o:lock v:ext="edit" aspectratio="t"/>
            <w10:wrap type="none"/>
            <w10:anchorlock/>
          </v:shape>
          <o:OLEObject Type="Embed" ProgID="Excel.Sheet.8" ShapeID="_x0000_i1026" DrawAspect="Content" ObjectID="_1468075726" r:id="rId21">
            <o:LockedField>false</o:LockedField>
          </o:OLEObject>
        </w:object>
      </w:r>
    </w:p>
    <w:p>
      <w:pPr>
        <w:rPr>
          <w:rFonts w:ascii="楷体" w:hAnsi="楷体" w:eastAsia="楷体" w:cs="楷体"/>
          <w:sz w:val="32"/>
          <w:szCs w:val="32"/>
        </w:rPr>
      </w:pPr>
      <w:r>
        <w:rPr>
          <w:rFonts w:hint="eastAsia" w:ascii="楷体" w:hAnsi="楷体" w:eastAsia="楷体" w:cs="楷体"/>
          <w:sz w:val="32"/>
          <w:szCs w:val="32"/>
        </w:rPr>
        <w:object>
          <v:shape id="_x0000_i1027" o:spt="75" type="#_x0000_t75" style="height:397.65pt;width:587.45pt;" o:ole="t" filled="f" o:preferrelative="t" stroked="f" coordsize="21600,21600">
            <v:path/>
            <v:fill on="f" focussize="0,0"/>
            <v:stroke on="f"/>
            <v:imagedata r:id="rId24" o:title=""/>
            <o:lock v:ext="edit" aspectratio="t"/>
            <w10:wrap type="none"/>
            <w10:anchorlock/>
          </v:shape>
          <o:OLEObject Type="Embed" ProgID="Excel.Sheet.8" ShapeID="_x0000_i1027" DrawAspect="Content" ObjectID="_1468075727" r:id="rId23">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pgNumType w:fmt="numberInDash"/>
          <w:cols w:space="720" w:num="1"/>
          <w:docGrid w:type="lines" w:linePitch="315" w:charSpace="0"/>
        </w:sectPr>
      </w:pPr>
      <w:r>
        <w:rPr>
          <w:rFonts w:hint="eastAsia" w:ascii="楷体" w:hAnsi="楷体" w:eastAsia="楷体" w:cs="楷体"/>
          <w:sz w:val="32"/>
          <w:szCs w:val="32"/>
        </w:rPr>
        <w:object>
          <v:shape id="_x0000_i1028" o:spt="75" type="#_x0000_t75" style="height:347.55pt;width:585.3pt;" o:ole="t" filled="f" o:preferrelative="t" stroked="f" coordsize="21600,21600">
            <v:path/>
            <v:fill on="f" focussize="0,0"/>
            <v:stroke on="f"/>
            <v:imagedata r:id="rId26" o:title=""/>
            <o:lock v:ext="edit" aspectratio="t"/>
            <w10:wrap type="none"/>
            <w10:anchorlock/>
          </v:shape>
          <o:OLEObject Type="Embed" ProgID="Excel.Sheet.8" ShapeID="_x0000_i1028" DrawAspect="Content" ObjectID="_1468075728" r:id="rId25">
            <o:LockedField>false</o:LockedField>
          </o:OLEObject>
        </w:objec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p>
      <w:pPr>
        <w:spacing w:before="156" w:beforeLines="50" w:after="156" w:afterLines="50" w:line="560" w:lineRule="exac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0B5C2"/>
    <w:multiLevelType w:val="singleLevel"/>
    <w:tmpl w:val="9CD0B5C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WY2N2IwMjdiYjQ4MDZhN2Y3NjM5YWMzZTRjMDYifQ=="/>
  </w:docVars>
  <w:rsids>
    <w:rsidRoot w:val="0038147B"/>
    <w:rsid w:val="00087250"/>
    <w:rsid w:val="0015146A"/>
    <w:rsid w:val="001B1E9E"/>
    <w:rsid w:val="00334813"/>
    <w:rsid w:val="0038147B"/>
    <w:rsid w:val="003C30A9"/>
    <w:rsid w:val="0058441A"/>
    <w:rsid w:val="006621E6"/>
    <w:rsid w:val="007615CD"/>
    <w:rsid w:val="00775E0E"/>
    <w:rsid w:val="007863E7"/>
    <w:rsid w:val="008C573D"/>
    <w:rsid w:val="00A14241"/>
    <w:rsid w:val="00A163EA"/>
    <w:rsid w:val="00D062D4"/>
    <w:rsid w:val="00E36E2F"/>
    <w:rsid w:val="00E702DD"/>
    <w:rsid w:val="00ED2B6C"/>
    <w:rsid w:val="00F01DDE"/>
    <w:rsid w:val="00F170DB"/>
    <w:rsid w:val="00F7175F"/>
    <w:rsid w:val="00FA5195"/>
    <w:rsid w:val="01EB657A"/>
    <w:rsid w:val="023F6D5E"/>
    <w:rsid w:val="029E06D8"/>
    <w:rsid w:val="0354494F"/>
    <w:rsid w:val="03D45C4B"/>
    <w:rsid w:val="05EE7D6F"/>
    <w:rsid w:val="06E76A15"/>
    <w:rsid w:val="09700FFA"/>
    <w:rsid w:val="097E7978"/>
    <w:rsid w:val="0D76067E"/>
    <w:rsid w:val="0F2C03CF"/>
    <w:rsid w:val="0F515B2B"/>
    <w:rsid w:val="0F9674D8"/>
    <w:rsid w:val="13667CB6"/>
    <w:rsid w:val="13EA05EF"/>
    <w:rsid w:val="15567A51"/>
    <w:rsid w:val="157F641B"/>
    <w:rsid w:val="18990935"/>
    <w:rsid w:val="19F46943"/>
    <w:rsid w:val="1AC14C1A"/>
    <w:rsid w:val="1ADC74E7"/>
    <w:rsid w:val="1BA55D84"/>
    <w:rsid w:val="1CE46BCE"/>
    <w:rsid w:val="1D01397E"/>
    <w:rsid w:val="1D9705AD"/>
    <w:rsid w:val="209F0758"/>
    <w:rsid w:val="210C0353"/>
    <w:rsid w:val="228D446D"/>
    <w:rsid w:val="25345DFB"/>
    <w:rsid w:val="254C720C"/>
    <w:rsid w:val="255C4372"/>
    <w:rsid w:val="25890D8B"/>
    <w:rsid w:val="261B04BB"/>
    <w:rsid w:val="263466DF"/>
    <w:rsid w:val="26C944EF"/>
    <w:rsid w:val="271E74BE"/>
    <w:rsid w:val="284E0329"/>
    <w:rsid w:val="2B2B542E"/>
    <w:rsid w:val="2C1A0E7D"/>
    <w:rsid w:val="2C415943"/>
    <w:rsid w:val="2C6B1098"/>
    <w:rsid w:val="2D04227B"/>
    <w:rsid w:val="2D8F0E23"/>
    <w:rsid w:val="2F870B13"/>
    <w:rsid w:val="30E96B9E"/>
    <w:rsid w:val="30EE548C"/>
    <w:rsid w:val="31F602D0"/>
    <w:rsid w:val="34596819"/>
    <w:rsid w:val="34834E06"/>
    <w:rsid w:val="39DB4390"/>
    <w:rsid w:val="3AB508FD"/>
    <w:rsid w:val="3C4A21DE"/>
    <w:rsid w:val="3D3E22E9"/>
    <w:rsid w:val="3E7A0D74"/>
    <w:rsid w:val="42E66F17"/>
    <w:rsid w:val="43364F1F"/>
    <w:rsid w:val="44B5452F"/>
    <w:rsid w:val="45755E61"/>
    <w:rsid w:val="47D835C2"/>
    <w:rsid w:val="47E85BA3"/>
    <w:rsid w:val="49227C71"/>
    <w:rsid w:val="49F81F8C"/>
    <w:rsid w:val="4A121DD1"/>
    <w:rsid w:val="4A711417"/>
    <w:rsid w:val="4AD02097"/>
    <w:rsid w:val="522508E1"/>
    <w:rsid w:val="54B211AD"/>
    <w:rsid w:val="56ED1518"/>
    <w:rsid w:val="57137879"/>
    <w:rsid w:val="573875E5"/>
    <w:rsid w:val="59164612"/>
    <w:rsid w:val="5A981153"/>
    <w:rsid w:val="5C310139"/>
    <w:rsid w:val="5D7F3C55"/>
    <w:rsid w:val="5E114473"/>
    <w:rsid w:val="5E4D71C7"/>
    <w:rsid w:val="61D36095"/>
    <w:rsid w:val="624618A7"/>
    <w:rsid w:val="644674B4"/>
    <w:rsid w:val="654275B8"/>
    <w:rsid w:val="65B41B36"/>
    <w:rsid w:val="65FA3F87"/>
    <w:rsid w:val="660B113D"/>
    <w:rsid w:val="6700755B"/>
    <w:rsid w:val="675F7FA7"/>
    <w:rsid w:val="6934794E"/>
    <w:rsid w:val="6B5A7A2B"/>
    <w:rsid w:val="6C273D43"/>
    <w:rsid w:val="700E1656"/>
    <w:rsid w:val="70CA11DE"/>
    <w:rsid w:val="70DE699A"/>
    <w:rsid w:val="728E121C"/>
    <w:rsid w:val="732727D0"/>
    <w:rsid w:val="73EA2609"/>
    <w:rsid w:val="77263EC1"/>
    <w:rsid w:val="78CF2D36"/>
    <w:rsid w:val="797532FE"/>
    <w:rsid w:val="79851CEF"/>
    <w:rsid w:val="7AED1CC3"/>
    <w:rsid w:val="7BDC3246"/>
    <w:rsid w:val="7D5F4FA8"/>
    <w:rsid w:val="7DA0080B"/>
    <w:rsid w:val="7DB647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4.emf"/><Relationship Id="rId25" Type="http://schemas.openxmlformats.org/officeDocument/2006/relationships/oleObject" Target="embeddings/oleObject4.bin"/><Relationship Id="rId24" Type="http://schemas.openxmlformats.org/officeDocument/2006/relationships/image" Target="media/image3.e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本部门人员编制</a:t>
            </a:r>
            <a:r>
              <a:rPr lang="en-US" altLang="zh-CN"/>
              <a:t>40</a:t>
            </a:r>
            <a:r>
              <a:rPr altLang="en-US"/>
              <a:t>人</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2019年支出合计2298.39万元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行政编制</c:v>
                </c:pt>
                <c:pt idx="1">
                  <c:v>事业编制</c:v>
                </c:pt>
              </c:strCache>
            </c:strRef>
          </c:cat>
          <c:val>
            <c:numRef>
              <c:f>Sheet1!$B$2:$B$3</c:f>
              <c:numCache>
                <c:formatCode>General</c:formatCode>
                <c:ptCount val="2"/>
                <c:pt idx="0">
                  <c:v>11</c:v>
                </c:pt>
                <c:pt idx="1">
                  <c:v>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2299.09</c:v>
                </c:pt>
                <c:pt idx="1">
                  <c:v>2298.39</c:v>
                </c:pt>
              </c:numCache>
            </c:numRef>
          </c:val>
        </c:ser>
        <c:ser>
          <c:idx val="1"/>
          <c:order val="1"/>
          <c:tx>
            <c:strRef>
              <c:f>Sheet1!$C$1</c:f>
              <c:strCache>
                <c:ptCount val="1"/>
                <c:pt idx="0">
                  <c:v>2020</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2259.62</c:v>
                </c:pt>
                <c:pt idx="1">
                  <c:v>2220.87</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95588138"/>
        <c:axId val="949489485"/>
      </c:barChart>
      <c:catAx>
        <c:axId val="39558813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9489485"/>
        <c:crosses val="autoZero"/>
        <c:auto val="1"/>
        <c:lblAlgn val="ctr"/>
        <c:lblOffset val="100"/>
        <c:noMultiLvlLbl val="0"/>
      </c:catAx>
      <c:valAx>
        <c:axId val="9494894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558813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年收入情况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财政拨款收入</c:v>
                </c:pt>
                <c:pt idx="1">
                  <c:v>其他收入</c:v>
                </c:pt>
              </c:strCache>
            </c:strRef>
          </c:cat>
          <c:val>
            <c:numRef>
              <c:f>Sheet1!$B$2:$B$3</c:f>
              <c:numCache>
                <c:formatCode>General</c:formatCode>
                <c:ptCount val="2"/>
                <c:pt idx="0">
                  <c:v>1069.22</c:v>
                </c:pt>
                <c:pt idx="1">
                  <c:v>1190.39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年支出情况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549.3</c:v>
                </c:pt>
                <c:pt idx="1">
                  <c:v>1671.57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2019年财政拨款收入</c:v>
                </c:pt>
                <c:pt idx="1">
                  <c:v>2020年财政拨款收入</c:v>
                </c:pt>
              </c:strCache>
            </c:strRef>
          </c:cat>
          <c:val>
            <c:numRef>
              <c:f>Sheet1!$B$2:$B$3</c:f>
              <c:numCache>
                <c:formatCode>General</c:formatCode>
                <c:ptCount val="2"/>
                <c:pt idx="0">
                  <c:v>1009.21</c:v>
                </c:pt>
                <c:pt idx="1">
                  <c:v>1069.22</c:v>
                </c:pt>
              </c:numCache>
            </c:numRef>
          </c:val>
        </c:ser>
        <c:ser>
          <c:idx val="1"/>
          <c:order val="1"/>
          <c:tx>
            <c:strRef>
              <c:f>Sheet1!$C$1</c:f>
              <c:strCache>
                <c:ptCount val="1"/>
                <c:pt idx="0">
                  <c:v>列1</c:v>
                </c:pt>
              </c:strCache>
            </c:strRef>
          </c:tx>
          <c:invertIfNegative val="0"/>
          <c:dLbls>
            <c:delete val="1"/>
          </c:dLbls>
          <c:cat>
            <c:strRef>
              <c:f>Sheet1!$A$2:$A$3</c:f>
              <c:strCache>
                <c:ptCount val="2"/>
                <c:pt idx="0">
                  <c:v>2019年财政拨款收入</c:v>
                </c:pt>
                <c:pt idx="1">
                  <c:v>2020年财政拨款收入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2019年财政拨款收入</c:v>
                </c:pt>
                <c:pt idx="1">
                  <c:v>2020年财政拨款收入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91716608"/>
        <c:axId val="91955968"/>
      </c:barChart>
      <c:catAx>
        <c:axId val="91716608"/>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55968"/>
        <c:crosses val="autoZero"/>
        <c:auto val="1"/>
        <c:lblAlgn val="ctr"/>
        <c:lblOffset val="100"/>
        <c:noMultiLvlLbl val="0"/>
      </c:catAx>
      <c:valAx>
        <c:axId val="9195596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71660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1"/>
          <c:h val="0.763853838349925"/>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2019年财政拨款支出</c:v>
                </c:pt>
                <c:pt idx="1">
                  <c:v>2020年财政拨款支出</c:v>
                </c:pt>
              </c:strCache>
            </c:strRef>
          </c:cat>
          <c:val>
            <c:numRef>
              <c:f>Sheet1!$B$2:$B$3</c:f>
              <c:numCache>
                <c:formatCode>General</c:formatCode>
                <c:ptCount val="2"/>
                <c:pt idx="0">
                  <c:v>1009.21</c:v>
                </c:pt>
                <c:pt idx="1">
                  <c:v>1068.72</c:v>
                </c:pt>
              </c:numCache>
            </c:numRef>
          </c:val>
        </c:ser>
        <c:dLbls>
          <c:showLegendKey val="0"/>
          <c:showVal val="0"/>
          <c:showCatName val="0"/>
          <c:showSerName val="0"/>
          <c:showPercent val="0"/>
          <c:showBubbleSize val="0"/>
        </c:dLbls>
        <c:gapWidth val="150"/>
        <c:overlap val="100"/>
        <c:axId val="91962752"/>
        <c:axId val="92353664"/>
      </c:barChart>
      <c:catAx>
        <c:axId val="9196275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2353664"/>
        <c:crosses val="autoZero"/>
        <c:auto val="1"/>
        <c:lblAlgn val="ctr"/>
        <c:lblOffset val="100"/>
        <c:noMultiLvlLbl val="0"/>
      </c:catAx>
      <c:valAx>
        <c:axId val="9235366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19627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年财政拨款支出</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2019支出</c:v>
                </c:pt>
                <c:pt idx="1">
                  <c:v>2020年增加部分</c:v>
                </c:pt>
              </c:strCache>
            </c:strRef>
          </c:cat>
          <c:val>
            <c:numRef>
              <c:f>Sheet1!$B$2:$B$3</c:f>
              <c:numCache>
                <c:formatCode>General</c:formatCode>
                <c:ptCount val="2"/>
                <c:pt idx="0">
                  <c:v>1009.21</c:v>
                </c:pt>
                <c:pt idx="1">
                  <c:v>59.51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7849</Words>
  <Characters>11120</Characters>
  <Lines>12</Lines>
  <Paragraphs>3</Paragraphs>
  <TotalTime>0</TotalTime>
  <ScaleCrop>false</ScaleCrop>
  <LinksUpToDate>false</LinksUpToDate>
  <CharactersWithSpaces>12335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2016-09-07T07:37:00Z</dcterms:created>
  <dc:creator>Administrator</dc:creator>
  <cp:lastModifiedBy>&amp;</cp:lastModifiedBy>
  <cp:lastPrinted>2021-10-08T08:56:00Z</cp:lastPrinted>
  <dcterms:modified xsi:type="dcterms:W3CDTF">2022-09-02T03:11:25Z</dcterms:modified>
  <dc:title>杨陵区财政局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16C1E940E9DA49109053B19C9E61B023</vt:lpwstr>
  </property>
</Properties>
</file>