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8"/>
          <w:szCs w:val="48"/>
          <w:lang w:eastAsia="zh-CN"/>
        </w:rPr>
        <w:t>杨陵区</w:t>
      </w:r>
      <w:r>
        <w:rPr>
          <w:rFonts w:hint="eastAsia" w:ascii="宋体" w:hAnsi="宋体" w:cs="宋体"/>
          <w:b/>
          <w:bCs/>
          <w:sz w:val="48"/>
          <w:szCs w:val="48"/>
          <w:lang w:val="en-US" w:eastAsia="zh-CN"/>
        </w:rPr>
        <w:t>生态环境</w:t>
      </w:r>
      <w:r>
        <w:rPr>
          <w:rFonts w:hint="eastAsia" w:ascii="宋体" w:hAnsi="宋体" w:eastAsia="宋体" w:cs="宋体"/>
          <w:b/>
          <w:bCs/>
          <w:sz w:val="48"/>
          <w:szCs w:val="48"/>
          <w:lang w:eastAsia="zh-CN"/>
        </w:rPr>
        <w:t>局</w:t>
      </w:r>
      <w:r>
        <w:rPr>
          <w:rFonts w:hint="eastAsia" w:ascii="宋体" w:hAnsi="宋体" w:eastAsia="宋体" w:cs="宋体"/>
          <w:b/>
          <w:bCs/>
          <w:sz w:val="48"/>
          <w:szCs w:val="48"/>
        </w:rPr>
        <w:t>20</w:t>
      </w:r>
      <w:r>
        <w:rPr>
          <w:rFonts w:hint="eastAsia" w:ascii="宋体" w:hAnsi="宋体" w:eastAsia="宋体" w:cs="宋体"/>
          <w:b/>
          <w:bCs/>
          <w:sz w:val="48"/>
          <w:szCs w:val="48"/>
          <w:lang w:val="en-US" w:eastAsia="zh-CN"/>
        </w:rPr>
        <w:t>20</w:t>
      </w:r>
      <w:r>
        <w:rPr>
          <w:rFonts w:hint="eastAsia" w:ascii="宋体" w:hAnsi="宋体" w:eastAsia="宋体" w:cs="宋体"/>
          <w:b/>
          <w:bCs/>
          <w:sz w:val="48"/>
          <w:szCs w:val="48"/>
        </w:rPr>
        <w:t>年部门决算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numPr>
          <w:ilvl w:val="0"/>
          <w:numId w:val="1"/>
        </w:numPr>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部门人员情况</w:t>
      </w:r>
    </w:p>
    <w:p>
      <w:pPr>
        <w:widowControl/>
        <w:jc w:val="center"/>
      </w:pPr>
      <w:r>
        <w:rPr>
          <w:rFonts w:hint="eastAsia" w:ascii="黑体" w:hAnsi="宋体" w:eastAsia="黑体"/>
          <w:color w:val="000000"/>
          <w:kern w:val="0"/>
          <w:sz w:val="32"/>
          <w:szCs w:val="32"/>
          <w:lang w:bidi="ar"/>
        </w:rPr>
        <w:t>第二部分  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default" w:ascii="仿宋" w:hAnsi="仿宋" w:eastAsia="仿宋" w:cs="楷体"/>
          <w:color w:val="000000"/>
          <w:kern w:val="0"/>
          <w:sz w:val="32"/>
          <w:szCs w:val="32"/>
          <w:highlight w:val="none"/>
          <w:lang w:val="en-US" w:eastAsia="zh-CN" w:bidi="ar"/>
        </w:rPr>
      </w:pPr>
      <w:r>
        <w:rPr>
          <w:rFonts w:hint="eastAsia" w:ascii="仿宋" w:hAnsi="仿宋" w:eastAsia="仿宋" w:cs="楷体"/>
          <w:color w:val="000000"/>
          <w:kern w:val="0"/>
          <w:sz w:val="32"/>
          <w:szCs w:val="32"/>
          <w:highlight w:val="none"/>
          <w:lang w:val="en-US" w:eastAsia="zh-CN" w:bidi="ar"/>
        </w:rPr>
        <w:t>九、国有资本经营预算财政拨款支出决算表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（一）财政拨款支出决算总体情况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（二）财政拨款支出决算具体情况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（一）“三公”经费财政拨款支出决算总体情况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（二）“三公”经费财政拨款支出决算具体情况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（三）培训费支出情况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（四）会议费支出情况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w:t>
      </w:r>
      <w:r>
        <w:rPr>
          <w:rFonts w:hint="eastAsia" w:ascii="仿宋" w:hAnsi="仿宋" w:eastAsia="仿宋" w:cs="楷体"/>
          <w:color w:val="auto"/>
          <w:kern w:val="0"/>
          <w:sz w:val="32"/>
          <w:szCs w:val="32"/>
          <w:lang w:bidi="ar"/>
        </w:rPr>
        <w:t>机关运行经费支出情况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十一、</w:t>
      </w:r>
      <w:r>
        <w:rPr>
          <w:rFonts w:hint="eastAsia" w:ascii="仿宋" w:hAnsi="仿宋" w:eastAsia="仿宋" w:cs="楷体"/>
          <w:color w:val="auto"/>
          <w:kern w:val="0"/>
          <w:sz w:val="32"/>
          <w:szCs w:val="32"/>
          <w:lang w:bidi="ar"/>
        </w:rPr>
        <w:t>政府采购支出情况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十二、</w:t>
      </w:r>
      <w:r>
        <w:rPr>
          <w:rFonts w:hint="eastAsia" w:ascii="仿宋" w:hAnsi="仿宋" w:eastAsia="仿宋" w:cs="楷体"/>
          <w:color w:val="auto"/>
          <w:kern w:val="0"/>
          <w:sz w:val="32"/>
          <w:szCs w:val="32"/>
          <w:lang w:bidi="ar"/>
        </w:rPr>
        <w:t>国有资产占用及购置情况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十</w:t>
      </w:r>
      <w:r>
        <w:rPr>
          <w:rFonts w:hint="eastAsia" w:ascii="仿宋" w:hAnsi="仿宋" w:eastAsia="仿宋" w:cs="楷体"/>
          <w:color w:val="auto"/>
          <w:kern w:val="0"/>
          <w:sz w:val="32"/>
          <w:szCs w:val="32"/>
          <w:lang w:val="en-US" w:eastAsia="zh-CN" w:bidi="ar"/>
        </w:rPr>
        <w:t>三</w:t>
      </w:r>
      <w:r>
        <w:rPr>
          <w:rFonts w:hint="eastAsia" w:ascii="仿宋" w:hAnsi="仿宋" w:eastAsia="仿宋" w:cs="楷体"/>
          <w:color w:val="auto"/>
          <w:kern w:val="0"/>
          <w:sz w:val="32"/>
          <w:szCs w:val="32"/>
          <w:lang w:bidi="ar"/>
        </w:rPr>
        <w:t>、预算绩效情况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（一）预算绩效管理工作开展情况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杨陵区生态环境局是杨陵区政府工作部门，为正科级</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主要职责为: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负责建立健全生态环境基本制度。</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负责重大生态环境问题的统筹协调和监督管理。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负责监督管理全区减排目标的落实。</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负责提出生态环境领域固定资产投资规模和方向、区 财政性资金安排的意见，按区政府规定权限核准国家规划内和年 度计划规模内固定资产投资项目，配合有关部门做好组织实施和 监督工作。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负责全区环境污染防治的监督管理。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指导协调和监督生态保护修复工作。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负责全区核与辐射安全的监督管理。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负责全区生态环境准入的监督管理。</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负责全区生态环境监测和信息发布工作。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（十）负责全区应对气候变化工作。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（十一）组织开展全区生态环境保护督察。</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（十二）统一负责全区生态环境综合行政执法。</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（十三）组织指导和协调全区生态环境宣传教育工作，制定 并组织实施全区生态环境保护宣传教育纲要，推动社会组织和公 众参与生态环境保护。</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（十四）完成区委、区政府交办的其他任务。</w:t>
      </w:r>
    </w:p>
    <w:p>
      <w:pPr>
        <w:widowControl/>
        <w:ind w:firstLine="643" w:firstLineChars="200"/>
        <w:jc w:val="left"/>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从决算单位构成看，本部门的部门决算包括部门本级（机关）预算和所属事业单位预算。纳入本部门2021年部门决算编制范围的二级预算单位共有1个,包括（见单位明细表）：：</w:t>
      </w: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3"/>
        <w:gridCol w:w="5619"/>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1113"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序号</w:t>
            </w:r>
          </w:p>
        </w:tc>
        <w:tc>
          <w:tcPr>
            <w:tcW w:w="5619"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单位名称</w:t>
            </w:r>
          </w:p>
        </w:tc>
        <w:tc>
          <w:tcPr>
            <w:tcW w:w="2407"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4" w:hRule="atLeast"/>
          <w:jc w:val="center"/>
        </w:trPr>
        <w:tc>
          <w:tcPr>
            <w:tcW w:w="1113" w:type="dxa"/>
            <w:noWrap w:val="0"/>
            <w:vAlign w:val="top"/>
          </w:tcPr>
          <w:p>
            <w:pPr>
              <w:bidi w:val="0"/>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5619" w:type="dxa"/>
            <w:noWrap w:val="0"/>
            <w:vAlign w:val="top"/>
          </w:tcPr>
          <w:p>
            <w:pPr>
              <w:bidi w:val="0"/>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杨陵区生态环境局</w:t>
            </w:r>
          </w:p>
        </w:tc>
        <w:tc>
          <w:tcPr>
            <w:tcW w:w="2407" w:type="dxa"/>
            <w:noWrap w:val="0"/>
            <w:vAlign w:val="top"/>
          </w:tcPr>
          <w:p>
            <w:pPr>
              <w:bidi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jc w:val="center"/>
        </w:trPr>
        <w:tc>
          <w:tcPr>
            <w:shd w:val="clear" w:color="auto" w:fill="auto"/>
            <w:vAlign w:val="top"/>
          </w:tcPr>
          <w:p>
            <w:pPr>
              <w:bidi w:val="0"/>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5619" w:type="dxa"/>
            <w:shd w:val="clear" w:color="auto" w:fill="auto"/>
            <w:vAlign w:val="top"/>
          </w:tcPr>
          <w:p>
            <w:pPr>
              <w:bidi w:val="0"/>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杨陵区生态环境综合执法大队</w:t>
            </w:r>
          </w:p>
        </w:tc>
        <w:tc>
          <w:tcPr>
            <w:tcW w:w="2407" w:type="dxa"/>
            <w:shd w:val="clear" w:color="auto" w:fill="auto"/>
            <w:vAlign w:val="top"/>
          </w:tcPr>
          <w:p>
            <w:pPr>
              <w:pageBreakBefore w:val="0"/>
              <w:jc w:val="left"/>
              <w:textAlignment w:val="auto"/>
            </w:pP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1" locked="0" layoutInCell="1" allowOverlap="1">
            <wp:simplePos x="0" y="0"/>
            <wp:positionH relativeFrom="column">
              <wp:posOffset>363220</wp:posOffset>
            </wp:positionH>
            <wp:positionV relativeFrom="paragraph">
              <wp:posOffset>1164590</wp:posOffset>
            </wp:positionV>
            <wp:extent cx="4072255" cy="2106295"/>
            <wp:effectExtent l="4445" t="4445" r="19050" b="22860"/>
            <wp:wrapTight wrapText="bothSides">
              <wp:wrapPolygon>
                <wp:start x="-24" y="-46"/>
                <wp:lineTo x="-24" y="21444"/>
                <wp:lineTo x="21499" y="21444"/>
                <wp:lineTo x="21499" y="-46"/>
                <wp:lineTo x="-24" y="-46"/>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hAnsi="仿宋_GB2312" w:eastAsia="仿宋_GB2312" w:cs="仿宋_GB2312"/>
          <w:sz w:val="32"/>
          <w:szCs w:val="32"/>
          <w:lang w:val="en-US" w:eastAsia="zh-CN"/>
        </w:rPr>
        <w:t>截止2020年底，</w:t>
      </w:r>
      <w:r>
        <w:rPr>
          <w:rFonts w:hint="eastAsia" w:ascii="仿宋_GB2312" w:hAnsi="仿宋_GB2312" w:eastAsia="仿宋_GB2312" w:cs="仿宋_GB2312"/>
          <w:sz w:val="32"/>
          <w:szCs w:val="32"/>
        </w:rPr>
        <w:t>本部门人员编制</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；实有人员17人，其中行政3人、事业14人。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both"/>
        <w:rPr>
          <w:rFonts w:ascii="黑体" w:hAnsi="宋体" w:eastAsia="黑体"/>
          <w:color w:val="000000"/>
          <w:kern w:val="0"/>
          <w:sz w:val="44"/>
          <w:szCs w:val="44"/>
          <w:lang w:bidi="ar"/>
        </w:rPr>
      </w:pPr>
    </w:p>
    <w:p>
      <w:pPr>
        <w:ind w:firstLine="640"/>
        <w:jc w:val="center"/>
        <w:rPr>
          <w:sz w:val="44"/>
          <w:szCs w:val="44"/>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20</w:t>
      </w:r>
      <w:r>
        <w:rPr>
          <w:rFonts w:ascii="黑体" w:hAnsi="宋体" w:eastAsia="黑体"/>
          <w:color w:val="000000"/>
          <w:kern w:val="0"/>
          <w:sz w:val="44"/>
          <w:szCs w:val="44"/>
          <w:lang w:bidi="ar"/>
        </w:rPr>
        <w:t>年度部门决算表</w:t>
      </w:r>
    </w:p>
    <w:tbl>
      <w:tblPr>
        <w:tblStyle w:val="3"/>
        <w:tblpPr w:leftFromText="180" w:rightFromText="180" w:vertAnchor="text" w:horzAnchor="page" w:tblpX="1512" w:tblpY="614"/>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本部门</w:t>
            </w:r>
            <w:r>
              <w:rPr>
                <w:rFonts w:hint="eastAsia" w:ascii="宋体" w:hAnsi="宋体" w:cs="宋体"/>
                <w:color w:val="000000"/>
                <w:sz w:val="24"/>
                <w:lang w:val="en-US" w:eastAsia="zh-CN"/>
              </w:rPr>
              <w:t>2020年无</w:t>
            </w:r>
            <w:r>
              <w:rPr>
                <w:rFonts w:hint="eastAsia" w:ascii="宋体" w:hAnsi="宋体" w:cs="宋体"/>
                <w:color w:val="000000"/>
                <w:kern w:val="0"/>
                <w:sz w:val="24"/>
                <w:lang w:bidi="ar"/>
              </w:rPr>
              <w:t>“三公”经费及会议费、培训费支出</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本部门无政府性基金决算收支</w:t>
            </w:r>
          </w:p>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表9</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国有资本经营预算财政拨款支出决算表</w:t>
            </w:r>
          </w:p>
          <w:p>
            <w:pPr>
              <w:widowControl/>
              <w:jc w:val="left"/>
              <w:rPr>
                <w:rFonts w:hint="default" w:ascii="宋体" w:hAnsi="宋体" w:eastAsia="宋体" w:cs="宋体"/>
                <w:color w:val="000000"/>
                <w:kern w:val="0"/>
                <w:sz w:val="24"/>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本部门无国有资本经营决算拨款收支</w:t>
            </w:r>
          </w:p>
        </w:tc>
      </w:tr>
    </w:tbl>
    <w:p>
      <w:pPr>
        <w:widowControl/>
        <w:rPr>
          <w:rFonts w:ascii="黑体" w:hAnsi="宋体" w:eastAsia="黑体"/>
          <w:color w:val="000000"/>
          <w:kern w:val="0"/>
          <w:sz w:val="44"/>
          <w:szCs w:val="44"/>
          <w:lang w:bidi="ar"/>
        </w:rPr>
      </w:pPr>
    </w:p>
    <w:p>
      <w:pPr>
        <w:widowControl/>
        <w:jc w:val="center"/>
        <w:textAlignment w:val="center"/>
        <w:rPr>
          <w:rFonts w:hint="eastAsia" w:ascii="宋体" w:hAnsi="宋体" w:cs="宋体"/>
          <w:b/>
          <w:color w:val="000000"/>
          <w:kern w:val="0"/>
          <w:sz w:val="40"/>
          <w:szCs w:val="40"/>
          <w:lang w:bidi="ar"/>
        </w:rPr>
        <w:sectPr>
          <w:footerReference r:id="rId3" w:type="default"/>
          <w:pgSz w:w="11906" w:h="16838"/>
          <w:pgMar w:top="1985" w:right="1588" w:bottom="2098" w:left="1474" w:header="851" w:footer="992" w:gutter="0"/>
          <w:pgNumType w:fmt="numberInDash"/>
          <w:cols w:space="720" w:num="1"/>
          <w:docGrid w:type="lines" w:linePitch="315" w:charSpace="0"/>
        </w:sectPr>
      </w:pPr>
      <w:r>
        <w:rPr>
          <w:rFonts w:hint="eastAsia" w:ascii="宋体" w:hAnsi="宋体" w:cs="宋体"/>
          <w:b/>
          <w:color w:val="000000"/>
          <w:kern w:val="0"/>
          <w:sz w:val="40"/>
          <w:szCs w:val="40"/>
          <w:lang w:bidi="ar"/>
        </w:rPr>
        <w:br w:type="page"/>
      </w:r>
    </w:p>
    <w:tbl>
      <w:tblPr>
        <w:tblStyle w:val="3"/>
        <w:tblW w:w="10098" w:type="dxa"/>
        <w:tblInd w:w="-3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3"/>
        <w:gridCol w:w="965"/>
        <w:gridCol w:w="3008"/>
        <w:gridCol w:w="2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0098" w:type="dxa"/>
            <w:gridSpan w:val="4"/>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6"/>
                <w:szCs w:val="36"/>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3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01</w:t>
            </w:r>
            <w:r>
              <w:rPr>
                <w:rFonts w:hint="eastAsia" w:ascii="宋体" w:hAnsi="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79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编制部门：杨陵区生态环境局</w:t>
            </w:r>
          </w:p>
        </w:tc>
        <w:tc>
          <w:tcPr>
            <w:tcW w:w="965"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30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3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4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lang w:val="en-US" w:eastAsia="zh-CN"/>
              </w:rPr>
              <w:t>收入</w:t>
            </w:r>
          </w:p>
        </w:tc>
        <w:tc>
          <w:tcPr>
            <w:tcW w:w="534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lang w:val="en-US" w:eastAsia="zh-CN"/>
              </w:rPr>
              <w:t>项目</w:t>
            </w:r>
          </w:p>
        </w:tc>
        <w:tc>
          <w:tcPr>
            <w:tcW w:w="9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lang w:val="en-US" w:eastAsia="zh-CN"/>
              </w:rPr>
              <w:t>决算数</w:t>
            </w:r>
          </w:p>
        </w:tc>
        <w:tc>
          <w:tcPr>
            <w:tcW w:w="30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lang w:val="en-US" w:eastAsia="zh-CN"/>
              </w:rPr>
              <w:t>项目(按功能分类)</w:t>
            </w:r>
          </w:p>
        </w:tc>
        <w:tc>
          <w:tcPr>
            <w:tcW w:w="233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一、一般公共预算财政拨款收入</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809.77</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一、一般公共服务支出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二、政府性基金预算财政拨款收入</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二、外交支出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三、国有资本经营预算财政拨款收入</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三、国防支出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四、上级补助收入</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四、公共安全支出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五、事业收入</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五、教育支出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六、经营收入</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六、科学技术支出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七、附属单位上缴收入</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七、文化旅游体育与传媒支出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八、其他收入</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476.22</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八、社会保障和就业支出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九、卫生健康支出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十、节能环保支出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1,298.15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十一、城乡社区支出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十二、农林水支出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十三、交通运输支出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十四、资源勘探工业信息等支出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十五、商业服务业等支出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十六、金融支出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十七、援助其他地区支出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十八、自然资源海洋气象等支出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十九、住房保障支出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二十、粮油物资储备支出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二十一、国有资本经营预算支出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二十二、灾害防治及应急管理支出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二十三、其他支出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二十四、债务还本支出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二十五、债务付息支出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二十六、抗疫特别国债安排的支出</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本年收入合计</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1,285.99</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本年支出合计</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1,302.95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 xml:space="preserve">    使用非财政拨款结余</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 xml:space="preserve">    结余分配</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379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 xml:space="preserve">    年初结转和结余</w:t>
            </w:r>
          </w:p>
        </w:tc>
        <w:tc>
          <w:tcPr>
            <w:tcW w:w="965"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127.09</w:t>
            </w:r>
          </w:p>
        </w:tc>
        <w:tc>
          <w:tcPr>
            <w:tcW w:w="300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 xml:space="preserve">    年末结转和结余</w:t>
            </w:r>
          </w:p>
        </w:tc>
        <w:tc>
          <w:tcPr>
            <w:tcW w:w="233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110.13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10098"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793" w:type="dxa"/>
            <w:tcBorders>
              <w:top w:val="nil"/>
              <w:left w:val="single" w:color="000000" w:sz="4" w:space="0"/>
              <w:bottom w:val="single" w:color="000000" w:sz="8"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收入总计</w:t>
            </w:r>
          </w:p>
        </w:tc>
        <w:tc>
          <w:tcPr>
            <w:tcW w:w="965" w:type="dxa"/>
            <w:tcBorders>
              <w:top w:val="nil"/>
              <w:left w:val="nil"/>
              <w:bottom w:val="single" w:color="000000" w:sz="8"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1,413.08</w:t>
            </w:r>
          </w:p>
        </w:tc>
        <w:tc>
          <w:tcPr>
            <w:tcW w:w="3008" w:type="dxa"/>
            <w:tcBorders>
              <w:top w:val="nil"/>
              <w:left w:val="nil"/>
              <w:bottom w:val="single" w:color="000000" w:sz="8"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支出总计</w:t>
            </w:r>
          </w:p>
        </w:tc>
        <w:tc>
          <w:tcPr>
            <w:tcW w:w="2332" w:type="dxa"/>
            <w:tcBorders>
              <w:top w:val="nil"/>
              <w:left w:val="nil"/>
              <w:bottom w:val="single" w:color="000000" w:sz="8" w:space="0"/>
              <w:right w:val="single" w:color="000000" w:sz="4" w:space="0"/>
            </w:tcBorders>
            <w:shd w:val="clear" w:color="auto" w:fill="auto"/>
            <w:noWrap/>
            <w:vAlign w:val="center"/>
          </w:tcPr>
          <w:p>
            <w:pPr>
              <w:rPr>
                <w:rFonts w:hint="eastAsia" w:ascii="宋体" w:hAnsi="宋体" w:cs="宋体"/>
                <w:color w:val="000000"/>
                <w:szCs w:val="21"/>
              </w:rPr>
            </w:pPr>
            <w:r>
              <w:rPr>
                <w:rFonts w:hint="eastAsia" w:ascii="宋体" w:hAnsi="宋体" w:cs="宋体"/>
                <w:color w:val="000000"/>
                <w:szCs w:val="21"/>
                <w:lang w:val="en-US" w:eastAsia="zh-CN"/>
              </w:rPr>
              <w:t>1,413.08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10098" w:type="dxa"/>
            <w:gridSpan w:val="4"/>
            <w:tcBorders>
              <w:top w:val="nil"/>
              <w:left w:val="nil"/>
              <w:bottom w:val="nil"/>
              <w:right w:val="nil"/>
            </w:tcBorders>
            <w:shd w:val="clear" w:color="auto" w:fill="auto"/>
            <w:noWrap/>
            <w:vAlign w:val="center"/>
          </w:tcPr>
          <w:p>
            <w:pPr>
              <w:widowControl/>
              <w:jc w:val="center"/>
              <w:textAlignment w:val="center"/>
              <w:rPr>
                <w:rFonts w:hint="eastAsia" w:ascii="宋体" w:hAnsi="宋体" w:cs="宋体"/>
                <w:bCs/>
                <w:color w:val="000000"/>
                <w:kern w:val="0"/>
                <w:szCs w:val="21"/>
              </w:rPr>
            </w:pPr>
            <w:r>
              <w:rPr>
                <w:rFonts w:hint="eastAsia" w:ascii="宋体" w:hAnsi="宋体" w:cs="宋体"/>
                <w:bCs/>
                <w:color w:val="000000"/>
                <w:kern w:val="0"/>
                <w:szCs w:val="21"/>
                <w:lang w:val="en-US" w:eastAsia="zh-CN"/>
              </w:rPr>
              <w:t>注：本表反映部门本年度的总收支和年末结转结余情况。本表金额转换为万元时，因四舍五入可能存在尾差。</w:t>
            </w:r>
          </w:p>
        </w:tc>
      </w:tr>
    </w:tbl>
    <w:p>
      <w:pPr>
        <w:jc w:val="center"/>
        <w:rPr>
          <w:rFonts w:hint="eastAsia" w:ascii="宋体" w:hAnsi="宋体" w:eastAsia="宋体" w:cs="宋体"/>
          <w:i w:val="0"/>
          <w:iCs w:val="0"/>
          <w:color w:val="000000"/>
          <w:kern w:val="0"/>
          <w:sz w:val="44"/>
          <w:szCs w:val="44"/>
          <w:u w:val="none"/>
          <w:lang w:val="en-US" w:eastAsia="zh-CN" w:bidi="ar"/>
        </w:rPr>
        <w:sectPr>
          <w:pgSz w:w="11906" w:h="16838"/>
          <w:pgMar w:top="1985" w:right="1588" w:bottom="2098" w:left="1474" w:header="851" w:footer="992" w:gutter="0"/>
          <w:pgNumType w:fmt="numberInDash"/>
          <w:cols w:space="720" w:num="1"/>
          <w:docGrid w:type="lines" w:linePitch="315" w:charSpace="0"/>
        </w:sectPr>
      </w:pPr>
      <w:r>
        <w:rPr>
          <w:rFonts w:hint="eastAsia" w:ascii="宋体" w:hAnsi="宋体" w:eastAsia="宋体" w:cs="宋体"/>
          <w:i w:val="0"/>
          <w:iCs w:val="0"/>
          <w:color w:val="000000"/>
          <w:kern w:val="0"/>
          <w:sz w:val="44"/>
          <w:szCs w:val="44"/>
          <w:u w:val="none"/>
          <w:lang w:val="en-US" w:eastAsia="zh-CN" w:bidi="ar"/>
        </w:rPr>
        <w:br w:type="page"/>
      </w:r>
    </w:p>
    <w:tbl>
      <w:tblPr>
        <w:tblStyle w:val="3"/>
        <w:tblW w:w="13896" w:type="dxa"/>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6"/>
        <w:gridCol w:w="2840"/>
        <w:gridCol w:w="1276"/>
        <w:gridCol w:w="1276"/>
        <w:gridCol w:w="1276"/>
        <w:gridCol w:w="1088"/>
        <w:gridCol w:w="1191"/>
        <w:gridCol w:w="1128"/>
        <w:gridCol w:w="1276"/>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96" w:type="dxa"/>
            <w:gridSpan w:val="10"/>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kern w:val="0"/>
                <w:sz w:val="44"/>
                <w:szCs w:val="44"/>
                <w:u w:val="none"/>
                <w:lang w:val="en-US" w:eastAsia="zh-CN" w:bidi="ar"/>
              </w:rPr>
            </w:pPr>
            <w:r>
              <w:rPr>
                <w:rFonts w:hint="eastAsia" w:ascii="宋体" w:hAnsi="宋体" w:eastAsia="宋体" w:cs="宋体"/>
                <w:i w:val="0"/>
                <w:iCs w:val="0"/>
                <w:color w:val="000000"/>
                <w:kern w:val="0"/>
                <w:sz w:val="44"/>
                <w:szCs w:val="44"/>
                <w:u w:val="none"/>
                <w:lang w:val="en-US" w:eastAsia="zh-CN" w:bidi="ar"/>
              </w:rPr>
              <w:t>收入决算表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22" w:type="dxa"/>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编制部门：杨陵区生态环境局</w:t>
            </w:r>
          </w:p>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11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7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trPr>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项目</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本年收入合计</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财政拨款收入</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上级补助收入</w:t>
            </w:r>
          </w:p>
        </w:tc>
        <w:tc>
          <w:tcPr>
            <w:tcW w:w="2279"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事业收入</w:t>
            </w:r>
          </w:p>
        </w:tc>
        <w:tc>
          <w:tcPr>
            <w:tcW w:w="1128" w:type="dxa"/>
            <w:vMerge w:val="restar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经营收入</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附属单位上缴收入</w:t>
            </w:r>
          </w:p>
        </w:tc>
        <w:tc>
          <w:tcPr>
            <w:tcW w:w="1279" w:type="dxa"/>
            <w:vMerge w:val="restart"/>
            <w:tcBorders>
              <w:top w:val="single" w:color="000000" w:sz="4" w:space="0"/>
              <w:left w:val="nil"/>
              <w:bottom w:val="single" w:color="000000" w:sz="4" w:space="0"/>
              <w:right w:val="single" w:color="000000" w:sz="8"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6" w:type="dxa"/>
            <w:vMerge w:val="restar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功能分类科目编码</w:t>
            </w:r>
          </w:p>
        </w:tc>
        <w:tc>
          <w:tcPr>
            <w:tcW w:w="2840" w:type="dxa"/>
            <w:vMerge w:val="restar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科目名称</w:t>
            </w: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227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128"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9" w:type="dxa"/>
            <w:vMerge w:val="continue"/>
            <w:tcBorders>
              <w:top w:val="single" w:color="000000" w:sz="4" w:space="0"/>
              <w:left w:val="nil"/>
              <w:bottom w:val="single" w:color="000000" w:sz="4" w:space="0"/>
              <w:right w:val="single" w:color="000000" w:sz="8" w:space="0"/>
            </w:tcBorders>
            <w:shd w:val="clear" w:color="auto" w:fill="auto"/>
            <w:vAlign w:val="center"/>
          </w:tcPr>
          <w:p>
            <w:pPr>
              <w:jc w:val="left"/>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2840" w:type="dxa"/>
            <w:vMerge w:val="continue"/>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088" w:type="dxa"/>
            <w:vMerge w:val="restart"/>
            <w:tcBorders>
              <w:top w:val="nil"/>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小计</w:t>
            </w:r>
          </w:p>
        </w:tc>
        <w:tc>
          <w:tcPr>
            <w:tcW w:w="1191" w:type="dxa"/>
            <w:vMerge w:val="restart"/>
            <w:tcBorders>
              <w:top w:val="nil"/>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其中：教育收费</w:t>
            </w:r>
          </w:p>
        </w:tc>
        <w:tc>
          <w:tcPr>
            <w:tcW w:w="1128"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9" w:type="dxa"/>
            <w:vMerge w:val="continue"/>
            <w:tcBorders>
              <w:top w:val="single" w:color="000000" w:sz="4" w:space="0"/>
              <w:left w:val="nil"/>
              <w:bottom w:val="single" w:color="000000" w:sz="4" w:space="0"/>
              <w:right w:val="single" w:color="000000" w:sz="8" w:space="0"/>
            </w:tcBorders>
            <w:shd w:val="clear" w:color="auto" w:fill="auto"/>
            <w:vAlign w:val="center"/>
          </w:tcPr>
          <w:p>
            <w:pPr>
              <w:jc w:val="left"/>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2840" w:type="dxa"/>
            <w:vMerge w:val="continue"/>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088" w:type="dxa"/>
            <w:vMerge w:val="continue"/>
            <w:tcBorders>
              <w:top w:val="nil"/>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128"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cs="宋体"/>
                <w:color w:val="000000"/>
                <w:szCs w:val="21"/>
              </w:rPr>
            </w:pPr>
          </w:p>
        </w:tc>
        <w:tc>
          <w:tcPr>
            <w:tcW w:w="1279" w:type="dxa"/>
            <w:vMerge w:val="continue"/>
            <w:tcBorders>
              <w:top w:val="single" w:color="000000" w:sz="4" w:space="0"/>
              <w:left w:val="nil"/>
              <w:bottom w:val="single" w:color="000000" w:sz="4" w:space="0"/>
              <w:right w:val="single" w:color="000000" w:sz="8" w:space="0"/>
            </w:tcBorders>
            <w:shd w:val="clear" w:color="auto" w:fill="auto"/>
            <w:vAlign w:val="center"/>
          </w:tcPr>
          <w:p>
            <w:pPr>
              <w:jc w:val="left"/>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trPr>
        <w:tc>
          <w:tcPr>
            <w:tcW w:w="4106"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合计</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1,285.99</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809.77</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476.22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211</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节能环保支出</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1,281.19</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804.97</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476.22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21101</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环境保护管理事务</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718.77</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242.55</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476.22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2110101</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 xml:space="preserve">  行政运行</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108.88</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104.30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2110199</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 xml:space="preserve">  其他环境保护管理事务支出</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609.89</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138.25</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471.64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21103</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污染防治</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562.42</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562.42</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2110301</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 xml:space="preserve">  大气</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462.42</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462.42</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2110302</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 xml:space="preserve">  水体</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100.00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100.00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212</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城乡社区支出</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4.80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4.80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21203</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城乡社区公共设施</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4.80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4.80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2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2120303</w:t>
            </w:r>
          </w:p>
        </w:tc>
        <w:tc>
          <w:tcPr>
            <w:tcW w:w="28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 xml:space="preserve">  小城镇基础设施建设</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4.80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4.80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12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c>
          <w:tcPr>
            <w:tcW w:w="1279" w:type="dxa"/>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266" w:type="dxa"/>
            <w:tcBorders>
              <w:top w:val="nil"/>
              <w:left w:val="single" w:color="000000" w:sz="4" w:space="0"/>
              <w:bottom w:val="single" w:color="000000" w:sz="8"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2840" w:type="dxa"/>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276" w:type="dxa"/>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276" w:type="dxa"/>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276" w:type="dxa"/>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088" w:type="dxa"/>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191" w:type="dxa"/>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128" w:type="dxa"/>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276" w:type="dxa"/>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cs="宋体"/>
                <w:color w:val="000000"/>
                <w:szCs w:val="21"/>
              </w:rPr>
            </w:pPr>
          </w:p>
        </w:tc>
        <w:tc>
          <w:tcPr>
            <w:tcW w:w="1279"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trPr>
        <w:tc>
          <w:tcPr>
            <w:tcW w:w="13896"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注：本表反映部门本年度取得的各项收入情况。本表金额转换为万元时，因四舍五入可能存在尾差。</w:t>
            </w:r>
          </w:p>
        </w:tc>
      </w:tr>
    </w:tbl>
    <w:p>
      <w:pPr>
        <w:widowControl/>
        <w:jc w:val="center"/>
        <w:textAlignment w:val="center"/>
        <w:rPr>
          <w:rFonts w:hint="eastAsia" w:ascii="宋体" w:hAnsi="宋体" w:cs="宋体"/>
          <w:b/>
          <w:bCs/>
          <w:sz w:val="32"/>
          <w:szCs w:val="32"/>
        </w:rPr>
        <w:sectPr>
          <w:pgSz w:w="16838" w:h="11906" w:orient="landscape"/>
          <w:pgMar w:top="1474" w:right="1985" w:bottom="1588" w:left="2098" w:header="851" w:footer="992" w:gutter="0"/>
          <w:pgNumType w:fmt="numberInDash"/>
          <w:cols w:space="720" w:num="1"/>
          <w:docGrid w:type="lines" w:linePitch="315" w:charSpace="0"/>
        </w:sectPr>
      </w:pPr>
    </w:p>
    <w:tbl>
      <w:tblPr>
        <w:tblStyle w:val="3"/>
        <w:tblW w:w="13516" w:type="dxa"/>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6"/>
        <w:gridCol w:w="2652"/>
        <w:gridCol w:w="1500"/>
        <w:gridCol w:w="2304"/>
        <w:gridCol w:w="2108"/>
        <w:gridCol w:w="648"/>
        <w:gridCol w:w="648"/>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3516" w:type="dxa"/>
            <w:gridSpan w:val="8"/>
            <w:tcBorders>
              <w:top w:val="nil"/>
              <w:left w:val="nil"/>
              <w:bottom w:val="nil"/>
              <w:right w:val="nil"/>
            </w:tcBorders>
            <w:shd w:val="clear" w:color="auto" w:fill="auto"/>
            <w:noWrap/>
            <w:vAlign w:val="bottom"/>
          </w:tcPr>
          <w:p>
            <w:pPr>
              <w:jc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708" w:type="dxa"/>
            <w:gridSpan w:val="2"/>
            <w:vMerge w:val="restart"/>
            <w:tcBorders>
              <w:top w:val="nil"/>
              <w:left w:val="nil"/>
              <w:right w:val="nil"/>
            </w:tcBorders>
            <w:shd w:val="clear" w:color="auto" w:fill="auto"/>
            <w:noWrap/>
            <w:vAlign w:val="bottom"/>
          </w:tcPr>
          <w:p>
            <w:pP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编制部门：杨陵区生态环境局</w:t>
            </w: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30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10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4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4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60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公开</w:t>
            </w:r>
            <w:r>
              <w:rPr>
                <w:rFonts w:hint="eastAsia" w:ascii="宋体" w:hAnsi="宋体" w:eastAsia="宋体" w:cs="宋体"/>
                <w:i w:val="0"/>
                <w:iCs w:val="0"/>
                <w:color w:val="000000"/>
                <w:kern w:val="0"/>
                <w:sz w:val="18"/>
                <w:szCs w:val="18"/>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4708" w:type="dxa"/>
            <w:gridSpan w:val="2"/>
            <w:vMerge w:val="continue"/>
            <w:tcBorders>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304"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w:t>
            </w:r>
          </w:p>
        </w:tc>
        <w:tc>
          <w:tcPr>
            <w:tcW w:w="210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4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4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60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5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230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1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6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上缴上级支出</w:t>
            </w:r>
          </w:p>
        </w:tc>
        <w:tc>
          <w:tcPr>
            <w:tcW w:w="6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经营支出</w:t>
            </w:r>
          </w:p>
        </w:tc>
        <w:tc>
          <w:tcPr>
            <w:tcW w:w="1600" w:type="dxa"/>
            <w:vMerge w:val="restart"/>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205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功能分类科目编码</w:t>
            </w:r>
          </w:p>
        </w:tc>
        <w:tc>
          <w:tcPr>
            <w:tcW w:w="2652"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0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0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205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52"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0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0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5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52"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0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0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 w:hRule="atLeast"/>
        </w:trPr>
        <w:tc>
          <w:tcPr>
            <w:tcW w:w="470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1,302.95</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247.13</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1,055.82</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节能环保支出</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1,298.15</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247.13</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1,051.01</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21101</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环境保护管理事务</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719.06</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247.13</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471.92</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2110101</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108.88</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108.88</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2110199</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其他环境保护管理事务支出</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610.18</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138.25</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471.92</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21103</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污染防治</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579.09</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579.09</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2110301</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大气</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462.52</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462.52</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2110302</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水体</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116.57</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116.57</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城乡社区支出</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21203</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城乡社区公共设施</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2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2120303</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小城镇基础设施建设</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2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21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00"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6" w:type="dxa"/>
            <w:tcBorders>
              <w:top w:val="nil"/>
              <w:left w:val="single" w:color="000000" w:sz="4" w:space="0"/>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2652" w:type="dxa"/>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500"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304"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108"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648"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648"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00" w:type="dxa"/>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3516"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注：本表反映部门本年度各项支出情况。本表金额转换为万元时，因四舍五入可能存在尾差。</w:t>
            </w:r>
          </w:p>
        </w:tc>
      </w:tr>
    </w:tbl>
    <w:p>
      <w:pPr>
        <w:jc w:val="center"/>
        <w:rPr>
          <w:rFonts w:hint="eastAsia" w:ascii="宋体" w:hAnsi="宋体" w:cs="宋体"/>
          <w:b/>
          <w:bCs/>
          <w:sz w:val="32"/>
          <w:szCs w:val="32"/>
        </w:rPr>
        <w:sectPr>
          <w:pgSz w:w="16838" w:h="11906" w:orient="landscape"/>
          <w:pgMar w:top="1474" w:right="1985" w:bottom="1588" w:left="2098" w:header="851" w:footer="992" w:gutter="0"/>
          <w:pgNumType w:fmt="numberInDash"/>
          <w:cols w:space="720" w:num="1"/>
          <w:docGrid w:type="lines" w:linePitch="315" w:charSpace="0"/>
        </w:sectPr>
      </w:pPr>
    </w:p>
    <w:tbl>
      <w:tblPr>
        <w:tblStyle w:val="3"/>
        <w:tblW w:w="14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2"/>
        <w:gridCol w:w="1340"/>
        <w:gridCol w:w="4030"/>
        <w:gridCol w:w="999"/>
        <w:gridCol w:w="1340"/>
        <w:gridCol w:w="1214"/>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14736"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编制部门：杨陵区生态环境局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65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47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55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项目（按功能分类）</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jc w:val="center"/>
        </w:trPr>
        <w:tc>
          <w:tcPr>
            <w:tcW w:w="365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33"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810.58</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810.58</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810.58</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注：本表反映部门本年度一般公共预算和政府性基金预算财政拨款的总收支和年末结转结余情况。本表金额转换为万元时，因四舍五入可能存在尾差。</w:t>
            </w:r>
          </w:p>
        </w:tc>
      </w:tr>
    </w:tbl>
    <w:p>
      <w:pPr>
        <w:jc w:val="center"/>
        <w:rPr>
          <w:rFonts w:hint="eastAsia" w:ascii="宋体" w:hAnsi="宋体" w:cs="宋体"/>
          <w:b/>
          <w:bCs/>
          <w:sz w:val="32"/>
          <w:szCs w:val="32"/>
        </w:rPr>
      </w:pPr>
    </w:p>
    <w:p>
      <w:pPr>
        <w:keepNext w:val="0"/>
        <w:keepLines w:val="0"/>
        <w:widowControl/>
        <w:suppressLineNumbers w:val="0"/>
        <w:jc w:val="left"/>
        <w:rPr>
          <w:rFonts w:hint="eastAsia" w:ascii="宋体" w:hAnsi="宋体" w:cs="宋体"/>
          <w:b/>
          <w:bCs/>
          <w:sz w:val="32"/>
          <w:szCs w:val="32"/>
        </w:rPr>
      </w:pPr>
      <w:r>
        <w:rPr>
          <w:rFonts w:hint="eastAsia" w:ascii="宋体" w:hAnsi="宋体" w:cs="宋体"/>
          <w:b/>
          <w:bCs/>
          <w:sz w:val="32"/>
          <w:szCs w:val="32"/>
        </w:rPr>
        <w:br w:type="page"/>
      </w:r>
    </w:p>
    <w:tbl>
      <w:tblPr>
        <w:tblStyle w:val="3"/>
        <w:tblW w:w="15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1"/>
        <w:gridCol w:w="258"/>
        <w:gridCol w:w="258"/>
        <w:gridCol w:w="3573"/>
        <w:gridCol w:w="1242"/>
        <w:gridCol w:w="1242"/>
        <w:gridCol w:w="1242"/>
        <w:gridCol w:w="1114"/>
        <w:gridCol w:w="1242"/>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608" w:type="dxa"/>
            <w:gridSpan w:val="10"/>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一般公共预算财政拨款支出决算表（按功能分类科目）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编制部门：杨陵区生态环境局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7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6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37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6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117" w:type="dxa"/>
            <w:vMerge w:val="restart"/>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11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0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2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17"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11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7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17"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411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7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17"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718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567.22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562.42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562.42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大气</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462.42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注：本表反映部门本年度一般公共预算财政拨款实际支出情况。本表金额转换为万元时，因四舍五入可能存在尾差。</w:t>
            </w:r>
          </w:p>
        </w:tc>
      </w:tr>
    </w:tbl>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rPr>
          <w:rFonts w:hint="eastAsia" w:ascii="宋体" w:hAnsi="宋体" w:cs="宋体"/>
          <w:b/>
          <w:bCs/>
          <w:sz w:val="32"/>
          <w:szCs w:val="32"/>
        </w:rPr>
      </w:pPr>
      <w:r>
        <w:rPr>
          <w:rFonts w:hint="eastAsia" w:ascii="宋体" w:hAnsi="宋体" w:cs="宋体"/>
          <w:b/>
          <w:bCs/>
          <w:sz w:val="32"/>
          <w:szCs w:val="32"/>
        </w:rPr>
        <w:br w:type="page"/>
      </w:r>
    </w:p>
    <w:tbl>
      <w:tblPr>
        <w:tblStyle w:val="3"/>
        <w:tblW w:w="13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2"/>
        <w:gridCol w:w="4703"/>
        <w:gridCol w:w="2268"/>
        <w:gridCol w:w="1203"/>
        <w:gridCol w:w="947"/>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3933" w:type="dxa"/>
            <w:gridSpan w:val="6"/>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一般公共预算财政拨款基本支出决算表（按经济分类科目）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jc w:val="center"/>
        </w:trPr>
        <w:tc>
          <w:tcPr>
            <w:tcW w:w="6935" w:type="dxa"/>
            <w:gridSpan w:val="2"/>
            <w:vMerge w:val="restart"/>
            <w:tcBorders>
              <w:top w:val="nil"/>
              <w:left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编制部门：杨陵区生态环境局</w:t>
            </w:r>
          </w:p>
        </w:tc>
        <w:tc>
          <w:tcPr>
            <w:tcW w:w="22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35" w:type="dxa"/>
            <w:gridSpan w:val="2"/>
            <w:vMerge w:val="continue"/>
            <w:tcBorders>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3"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9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6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6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4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580" w:type="dxa"/>
            <w:vMerge w:val="restart"/>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3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470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0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0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693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242.55</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238.72</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238.63</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64.78</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26.56</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36.70</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56.01</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22.78</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7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9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232" w:type="dxa"/>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4703"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268"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947"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80" w:type="dxa"/>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13933"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keepNext w:val="0"/>
        <w:keepLines w:val="0"/>
        <w:widowControl/>
        <w:suppressLineNumbers w:val="0"/>
        <w:jc w:val="left"/>
      </w:pPr>
    </w:p>
    <w:p>
      <w:pPr>
        <w:jc w:val="center"/>
        <w:rPr>
          <w:rFonts w:hint="eastAsia" w:ascii="宋体" w:hAnsi="宋体" w:cs="宋体"/>
          <w:b/>
          <w:bCs/>
          <w:sz w:val="32"/>
          <w:szCs w:val="32"/>
        </w:rPr>
      </w:pPr>
      <w:r>
        <w:rPr>
          <w:rFonts w:hint="eastAsia" w:ascii="宋体" w:hAnsi="宋体" w:cs="宋体"/>
          <w:b/>
          <w:bCs/>
          <w:sz w:val="32"/>
          <w:szCs w:val="32"/>
        </w:rPr>
        <w:br w:type="page"/>
      </w:r>
    </w:p>
    <w:tbl>
      <w:tblPr>
        <w:tblStyle w:val="3"/>
        <w:tblW w:w="137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37"/>
        <w:gridCol w:w="1069"/>
        <w:gridCol w:w="1354"/>
        <w:gridCol w:w="1069"/>
        <w:gridCol w:w="1347"/>
        <w:gridCol w:w="1069"/>
        <w:gridCol w:w="1069"/>
        <w:gridCol w:w="1069"/>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13772" w:type="dxa"/>
            <w:gridSpan w:val="9"/>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一般公共预算财政拨款“三公”经费及会议费、培训费支出决算表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编制部门：杨陵区生态环境局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320"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一般公共预算财政拨款安排的“三公”经费</w:t>
            </w:r>
          </w:p>
        </w:tc>
        <w:tc>
          <w:tcPr>
            <w:tcW w:w="12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1616" w:type="dxa"/>
            <w:vMerge w:val="restart"/>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12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66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16"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3772"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注：本表反映部门本年度一般公共预算财政拨款“三公”经费、会议费、培训费的预算数和实际支出。预算数为调整预算数。本表金额转换为万元时，因四舍五入可能存在尾差。</w:t>
            </w:r>
          </w:p>
        </w:tc>
      </w:tr>
    </w:tbl>
    <w:p>
      <w:pPr>
        <w:keepNext w:val="0"/>
        <w:keepLines w:val="0"/>
        <w:widowControl/>
        <w:suppressLineNumbers w:val="0"/>
        <w:jc w:val="left"/>
        <w:rPr>
          <w:rFonts w:hint="eastAsia" w:ascii="宋体" w:hAnsi="宋体" w:cs="宋体"/>
          <w:b/>
          <w:bCs/>
          <w:sz w:val="32"/>
          <w:szCs w:val="32"/>
        </w:rPr>
      </w:pPr>
      <w:r>
        <w:rPr>
          <w:rFonts w:hint="eastAsia" w:ascii="宋体" w:hAnsi="宋体" w:cs="宋体"/>
          <w:b/>
          <w:bCs/>
          <w:sz w:val="32"/>
          <w:szCs w:val="32"/>
        </w:rPr>
        <w:br w:type="page"/>
      </w:r>
    </w:p>
    <w:tbl>
      <w:tblPr>
        <w:tblStyle w:val="3"/>
        <w:tblW w:w="141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45"/>
        <w:gridCol w:w="295"/>
        <w:gridCol w:w="295"/>
        <w:gridCol w:w="2080"/>
        <w:gridCol w:w="1055"/>
        <w:gridCol w:w="1341"/>
        <w:gridCol w:w="1055"/>
        <w:gridCol w:w="1055"/>
        <w:gridCol w:w="1055"/>
        <w:gridCol w:w="2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4124" w:type="dxa"/>
            <w:gridSpan w:val="10"/>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jc w:val="center"/>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编制部门：杨陵区生态环境局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6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16" w:type="dxa"/>
            <w:vMerge w:val="restart"/>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06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69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16"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06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406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6758"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注：本表反映部门本年度政府性基金预算财政拨款收入支出及结转和结余情况。本表金额转换为万元时，因四舍五入可能存在尾差。</w:t>
            </w:r>
          </w:p>
        </w:tc>
      </w:tr>
    </w:tbl>
    <w:p>
      <w:pPr>
        <w:keepNext w:val="0"/>
        <w:keepLines w:val="0"/>
        <w:widowControl/>
        <w:suppressLineNumbers w:val="0"/>
        <w:jc w:val="left"/>
        <w:rPr>
          <w:rFonts w:hint="eastAsia" w:ascii="黑体" w:hAnsi="宋体" w:eastAsia="黑体"/>
          <w:color w:val="000000"/>
          <w:kern w:val="0"/>
          <w:sz w:val="44"/>
          <w:szCs w:val="44"/>
          <w:lang w:bidi="ar"/>
        </w:rPr>
      </w:pPr>
    </w:p>
    <w:p>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tbl>
      <w:tblPr>
        <w:tblStyle w:val="3"/>
        <w:tblW w:w="12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9"/>
        <w:gridCol w:w="301"/>
        <w:gridCol w:w="301"/>
        <w:gridCol w:w="2882"/>
        <w:gridCol w:w="1966"/>
        <w:gridCol w:w="1404"/>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878"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编制单位：杨陵区生态环境局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2021年7月</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0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81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16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7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注：本表反映部门本年度国有资本经营预算财政拨款支出情况。本表金额转换为万元时，因四舍五入可能存在尾差。</w:t>
            </w:r>
          </w:p>
        </w:tc>
      </w:tr>
    </w:tbl>
    <w:p>
      <w:pPr>
        <w:jc w:val="center"/>
        <w:rPr>
          <w:rFonts w:hint="eastAsia" w:ascii="黑体" w:hAnsi="宋体" w:eastAsia="黑体"/>
          <w:color w:val="000000"/>
          <w:kern w:val="0"/>
          <w:sz w:val="44"/>
          <w:szCs w:val="44"/>
          <w:lang w:bidi="ar"/>
        </w:rPr>
        <w:sectPr>
          <w:pgSz w:w="16838" w:h="11906" w:orient="landscape"/>
          <w:pgMar w:top="1020" w:right="1985" w:bottom="1247" w:left="2098" w:header="851" w:footer="992" w:gutter="0"/>
          <w:pgNumType w:fmt="numberInDash"/>
          <w:cols w:space="720" w:num="1"/>
          <w:docGrid w:type="lines" w:linePitch="315" w:charSpace="0"/>
        </w:sectPr>
      </w:pPr>
    </w:p>
    <w:p>
      <w:pPr>
        <w:jc w:val="center"/>
        <w:rPr>
          <w:rFonts w:hint="eastAsia" w:ascii="黑体" w:hAnsi="宋体" w:eastAsia="黑体"/>
          <w:color w:val="000000"/>
          <w:kern w:val="0"/>
          <w:sz w:val="44"/>
          <w:szCs w:val="44"/>
          <w:highlight w:val="none"/>
          <w:lang w:eastAsia="zh-CN" w:bidi="ar"/>
        </w:rPr>
      </w:pPr>
      <w:r>
        <w:rPr>
          <w:rFonts w:hint="eastAsia" w:ascii="黑体" w:hAnsi="宋体" w:eastAsia="黑体"/>
          <w:color w:val="000000"/>
          <w:kern w:val="0"/>
          <w:sz w:val="44"/>
          <w:szCs w:val="44"/>
          <w:highlight w:val="none"/>
          <w:lang w:bidi="ar"/>
        </w:rPr>
        <w:t>第三部分 2</w:t>
      </w:r>
      <w:r>
        <w:rPr>
          <w:rFonts w:hint="eastAsia" w:ascii="黑体" w:hAnsi="宋体" w:eastAsia="黑体"/>
          <w:color w:val="000000"/>
          <w:kern w:val="0"/>
          <w:sz w:val="44"/>
          <w:szCs w:val="44"/>
          <w:highlight w:val="none"/>
          <w:lang w:val="en-US" w:eastAsia="zh-CN" w:bidi="ar"/>
        </w:rPr>
        <w:t>020</w:t>
      </w:r>
      <w:r>
        <w:rPr>
          <w:rFonts w:hint="eastAsia" w:ascii="黑体" w:hAnsi="宋体" w:eastAsia="黑体"/>
          <w:color w:val="000000"/>
          <w:kern w:val="0"/>
          <w:sz w:val="44"/>
          <w:szCs w:val="44"/>
          <w:highlight w:val="none"/>
          <w:lang w:bidi="ar"/>
        </w:rPr>
        <w:t xml:space="preserve"> 年部门决算情况</w:t>
      </w:r>
      <w:r>
        <w:rPr>
          <w:rFonts w:hint="eastAsia" w:ascii="黑体" w:hAnsi="宋体" w:eastAsia="黑体"/>
          <w:color w:val="000000"/>
          <w:kern w:val="0"/>
          <w:sz w:val="44"/>
          <w:szCs w:val="44"/>
          <w:highlight w:val="none"/>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收入1285.99万元，</w:t>
      </w:r>
      <w:r>
        <w:rPr>
          <w:rFonts w:hint="eastAsia" w:ascii="仿宋_GB2312" w:hAnsi="仿宋" w:eastAsia="仿宋_GB2312"/>
          <w:sz w:val="32"/>
          <w:szCs w:val="32"/>
        </w:rPr>
        <w:t>比上年</w:t>
      </w:r>
      <w:r>
        <w:rPr>
          <w:rFonts w:hint="eastAsia" w:ascii="仿宋" w:hAnsi="仿宋" w:eastAsia="仿宋" w:cs="仿宋"/>
          <w:sz w:val="32"/>
          <w:szCs w:val="32"/>
          <w:lang w:eastAsia="zh-CN"/>
        </w:rPr>
        <w:t>收入</w:t>
      </w:r>
      <w:r>
        <w:rPr>
          <w:rFonts w:hint="eastAsia" w:ascii="仿宋_GB2312" w:hAnsi="仿宋" w:eastAsia="仿宋_GB2312"/>
          <w:sz w:val="32"/>
          <w:szCs w:val="32"/>
          <w:lang w:val="en-US" w:eastAsia="zh-CN"/>
        </w:rPr>
        <w:t>454.01</w:t>
      </w:r>
      <w:r>
        <w:rPr>
          <w:rFonts w:hint="eastAsia" w:ascii="仿宋" w:hAnsi="仿宋" w:eastAsia="仿宋" w:cs="仿宋"/>
          <w:color w:val="2B2B2B"/>
          <w:kern w:val="0"/>
          <w:sz w:val="32"/>
          <w:szCs w:val="32"/>
          <w:shd w:val="clear" w:fill="FFFFFF"/>
          <w:lang w:val="en-US" w:eastAsia="zh-CN" w:bidi="ar"/>
        </w:rPr>
        <w:t>万元增加831.98</w:t>
      </w:r>
      <w:r>
        <w:rPr>
          <w:rFonts w:hint="eastAsia" w:ascii="仿宋" w:hAnsi="仿宋" w:eastAsia="仿宋" w:cs="仿宋"/>
          <w:sz w:val="32"/>
          <w:szCs w:val="32"/>
          <w:lang w:val="en-US" w:eastAsia="zh-CN"/>
        </w:rPr>
        <w:t>万元，增加183.25%，</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1302.95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支出353.34</w:t>
      </w:r>
      <w:r>
        <w:rPr>
          <w:rFonts w:hint="eastAsia" w:ascii="仿宋" w:hAnsi="仿宋" w:eastAsia="仿宋" w:cs="仿宋"/>
          <w:color w:val="2B2B2B"/>
          <w:kern w:val="0"/>
          <w:sz w:val="32"/>
          <w:szCs w:val="32"/>
          <w:shd w:val="clear" w:fill="FFFFFF"/>
          <w:lang w:val="en-US" w:eastAsia="zh-CN" w:bidi="ar"/>
        </w:rPr>
        <w:t>万元，增加949.61</w:t>
      </w:r>
      <w:r>
        <w:rPr>
          <w:rFonts w:hint="eastAsia" w:ascii="仿宋" w:hAnsi="仿宋" w:eastAsia="仿宋" w:cs="仿宋"/>
          <w:sz w:val="32"/>
          <w:szCs w:val="32"/>
          <w:lang w:val="en-US" w:eastAsia="zh-CN"/>
        </w:rPr>
        <w:t>万元，增加268.75%。</w:t>
      </w:r>
      <w:r>
        <w:rPr>
          <w:rFonts w:hint="eastAsia" w:ascii="仿宋_GB2312" w:hAnsi="仿宋_GB2312" w:eastAsia="仿宋_GB2312" w:cs="仿宋_GB2312"/>
          <w:sz w:val="32"/>
          <w:szCs w:val="32"/>
        </w:rPr>
        <w:t>主要原因是工资普调等政策性原因及环保项目预算增加引发的收入支出增加。</w:t>
      </w:r>
    </w:p>
    <w:p>
      <w:pPr>
        <w:widowControl/>
        <w:ind w:firstLine="640" w:firstLineChars="200"/>
        <w:jc w:val="left"/>
        <w:rPr>
          <w:rFonts w:hint="eastAsia" w:ascii="仿宋_GB2312" w:hAnsi="仿宋_GB2312" w:eastAsia="仿宋_GB2312" w:cs="仿宋_GB2312"/>
          <w:sz w:val="32"/>
          <w:szCs w:val="32"/>
        </w:rPr>
      </w:pPr>
      <w:r>
        <w:rPr>
          <w:rFonts w:hint="eastAsia" w:ascii="仿宋" w:hAnsi="仿宋" w:eastAsia="仿宋" w:cs="仿宋"/>
          <w:color w:val="2B2B2B"/>
          <w:kern w:val="0"/>
          <w:sz w:val="32"/>
          <w:szCs w:val="32"/>
          <w:shd w:val="clear" w:fill="FFFFFF"/>
          <w:lang w:val="en-US" w:eastAsia="zh-CN" w:bidi="ar"/>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bidi="ar"/>
        </w:rPr>
        <w:t>2020年本部门</w:t>
      </w:r>
      <w:r>
        <w:rPr>
          <w:rFonts w:hint="eastAsia" w:ascii="仿宋_GB2312" w:hAnsi="宋体" w:eastAsia="仿宋_GB2312" w:cs="仿宋_GB2312"/>
          <w:color w:val="000000"/>
          <w:kern w:val="0"/>
          <w:sz w:val="32"/>
          <w:szCs w:val="32"/>
          <w:lang w:val="en-US" w:eastAsia="zh-CN" w:bidi="ar"/>
        </w:rPr>
        <w:t>决算</w:t>
      </w:r>
      <w:r>
        <w:rPr>
          <w:rFonts w:hint="eastAsia" w:ascii="仿宋_GB2312" w:hAnsi="宋体" w:eastAsia="仿宋_GB2312" w:cs="仿宋_GB2312"/>
          <w:color w:val="000000"/>
          <w:kern w:val="0"/>
          <w:sz w:val="32"/>
          <w:szCs w:val="32"/>
          <w:lang w:bidi="ar"/>
        </w:rPr>
        <w:t>收入</w:t>
      </w:r>
      <w:r>
        <w:rPr>
          <w:rFonts w:hint="eastAsia" w:ascii="仿宋_GB2312" w:hAnsi="宋体" w:eastAsia="仿宋_GB2312" w:cs="仿宋_GB2312"/>
          <w:color w:val="000000"/>
          <w:kern w:val="0"/>
          <w:sz w:val="32"/>
          <w:szCs w:val="32"/>
          <w:lang w:val="en-US" w:eastAsia="zh-CN" w:bidi="ar"/>
        </w:rPr>
        <w:t>1285.99</w:t>
      </w:r>
      <w:r>
        <w:rPr>
          <w:rFonts w:hint="eastAsia" w:ascii="仿宋_GB2312" w:hAnsi="宋体" w:eastAsia="仿宋_GB2312" w:cs="仿宋_GB2312"/>
          <w:color w:val="000000"/>
          <w:kern w:val="0"/>
          <w:sz w:val="32"/>
          <w:szCs w:val="32"/>
          <w:lang w:bidi="ar"/>
        </w:rPr>
        <w:t>万元，其中一般公共预算拨款收入</w:t>
      </w:r>
      <w:r>
        <w:rPr>
          <w:rFonts w:hint="eastAsia" w:ascii="仿宋_GB2312" w:hAnsi="宋体" w:eastAsia="仿宋_GB2312" w:cs="仿宋_GB2312"/>
          <w:color w:val="000000"/>
          <w:kern w:val="0"/>
          <w:sz w:val="32"/>
          <w:szCs w:val="32"/>
          <w:lang w:val="en-US" w:eastAsia="zh-CN" w:bidi="ar"/>
        </w:rPr>
        <w:t>809.77</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占62.97%；</w:t>
      </w:r>
      <w:r>
        <w:rPr>
          <w:rFonts w:hint="eastAsia" w:ascii="仿宋_GB2312" w:hAnsi="宋体" w:eastAsia="仿宋_GB2312" w:cs="仿宋_GB2312"/>
          <w:color w:val="000000"/>
          <w:kern w:val="0"/>
          <w:sz w:val="32"/>
          <w:szCs w:val="32"/>
          <w:lang w:bidi="ar"/>
        </w:rPr>
        <w:t>政府性基金拨款收入0.00万元，国有资本经营预算财政拨款收入</w:t>
      </w:r>
      <w:r>
        <w:rPr>
          <w:rFonts w:hint="eastAsia" w:ascii="仿宋_GB2312" w:hAnsi="宋体" w:eastAsia="仿宋_GB2312" w:cs="仿宋_GB2312"/>
          <w:color w:val="000000"/>
          <w:kern w:val="0"/>
          <w:sz w:val="32"/>
          <w:szCs w:val="32"/>
          <w:lang w:val="en-US" w:eastAsia="zh-CN" w:bidi="ar"/>
        </w:rPr>
        <w:t>0.00</w:t>
      </w:r>
      <w:r>
        <w:rPr>
          <w:rFonts w:hint="eastAsia" w:ascii="仿宋_GB2312" w:hAnsi="宋体" w:eastAsia="仿宋_GB2312" w:cs="仿宋_GB2312"/>
          <w:color w:val="000000"/>
          <w:kern w:val="0"/>
          <w:sz w:val="32"/>
          <w:szCs w:val="32"/>
          <w:lang w:bidi="ar"/>
        </w:rPr>
        <w:t>万元，上级补助收入0.00万元，事业收入0.00万元，经营收入0.00万元，附属单位上缴收入0.00万元，其他收入</w:t>
      </w:r>
      <w:r>
        <w:rPr>
          <w:rFonts w:hint="eastAsia" w:ascii="仿宋_GB2312" w:hAnsi="宋体" w:eastAsia="仿宋_GB2312" w:cs="仿宋_GB2312"/>
          <w:color w:val="000000"/>
          <w:kern w:val="0"/>
          <w:sz w:val="32"/>
          <w:szCs w:val="32"/>
          <w:lang w:val="en-US" w:eastAsia="zh-CN" w:bidi="ar"/>
        </w:rPr>
        <w:t>476.22万元，占37.03%；</w:t>
      </w:r>
      <w:r>
        <w:rPr>
          <w:rFonts w:hint="eastAsia" w:ascii="仿宋_GB2312" w:hAnsi="宋体" w:eastAsia="仿宋_GB2312" w:cs="仿宋_GB2312"/>
          <w:color w:val="000000"/>
          <w:kern w:val="0"/>
          <w:sz w:val="32"/>
          <w:szCs w:val="32"/>
          <w:lang w:bidi="ar"/>
        </w:rPr>
        <w:t>上年结转收入</w:t>
      </w:r>
      <w:r>
        <w:rPr>
          <w:rFonts w:hint="eastAsia" w:ascii="仿宋_GB2312" w:hAnsi="宋体" w:eastAsia="仿宋_GB2312" w:cs="仿宋_GB2312"/>
          <w:color w:val="000000"/>
          <w:kern w:val="0"/>
          <w:sz w:val="32"/>
          <w:szCs w:val="32"/>
          <w:lang w:val="en-US" w:eastAsia="zh-CN" w:bidi="ar"/>
        </w:rPr>
        <w:t>127.09</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936490" cy="3572510"/>
            <wp:effectExtent l="4445" t="4445" r="1206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1302.95</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247.13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18.97</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1055.82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81.03</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黑体" w:hAnsi="黑体" w:eastAsia="黑体"/>
          <w:color w:val="000000"/>
          <w:kern w:val="0"/>
          <w:sz w:val="32"/>
          <w:szCs w:val="32"/>
          <w:lang w:eastAsia="zh-CN" w:bidi="ar"/>
        </w:rPr>
        <w:drawing>
          <wp:inline distT="0" distB="0" distL="114300" distR="114300">
            <wp:extent cx="4775835" cy="3495675"/>
            <wp:effectExtent l="4445" t="4445" r="2032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2020年财政拨款</w:t>
      </w:r>
      <w:r>
        <w:rPr>
          <w:rFonts w:hint="eastAsia" w:ascii="仿宋_GB2312" w:hAnsi="仿宋_GB2312" w:eastAsia="仿宋_GB2312" w:cs="仿宋_GB2312"/>
          <w:sz w:val="32"/>
          <w:szCs w:val="32"/>
          <w:lang w:val="en-US" w:eastAsia="zh-CN"/>
        </w:rPr>
        <w:t>收入809.77</w:t>
      </w:r>
      <w:r>
        <w:rPr>
          <w:rFonts w:ascii="仿宋_GB2312" w:hAnsi="宋体" w:eastAsia="仿宋_GB2312" w:cs="仿宋_GB2312"/>
          <w:color w:val="000000"/>
          <w:kern w:val="0"/>
          <w:sz w:val="32"/>
          <w:szCs w:val="32"/>
          <w:lang w:bidi="ar"/>
        </w:rPr>
        <w:t>，占本年</w:t>
      </w:r>
      <w:r>
        <w:rPr>
          <w:rFonts w:hint="eastAsia" w:ascii="仿宋_GB2312" w:hAnsi="宋体" w:eastAsia="仿宋_GB2312" w:cs="仿宋_GB2312"/>
          <w:color w:val="000000"/>
          <w:kern w:val="0"/>
          <w:sz w:val="32"/>
          <w:szCs w:val="32"/>
          <w:lang w:val="en-US" w:eastAsia="zh-CN" w:bidi="ar"/>
        </w:rPr>
        <w:t>收入合计62.97%。</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val="en-US" w:eastAsia="zh-CN" w:bidi="ar"/>
        </w:rPr>
        <w:t>增加</w:t>
      </w:r>
      <w:r>
        <w:rPr>
          <w:rFonts w:hint="eastAsia" w:ascii="仿宋_GB2312" w:hAnsi="仿宋" w:eastAsia="仿宋_GB2312"/>
          <w:sz w:val="32"/>
          <w:szCs w:val="32"/>
          <w:lang w:val="en-US" w:eastAsia="zh-CN"/>
        </w:rPr>
        <w:t>500.12万元，增加61.76%</w:t>
      </w:r>
      <w:r>
        <w:rPr>
          <w:rFonts w:hint="eastAsia" w:ascii="仿宋_GB2312" w:hAnsi="仿宋" w:eastAsia="仿宋_GB2312"/>
          <w:sz w:val="32"/>
          <w:szCs w:val="32"/>
        </w:rPr>
        <w:t>，</w:t>
      </w:r>
      <w:r>
        <w:rPr>
          <w:rFonts w:hint="eastAsia" w:ascii="仿宋_GB2312" w:hAnsi="仿宋_GB2312" w:eastAsia="仿宋_GB2312" w:cs="仿宋_GB2312"/>
          <w:sz w:val="32"/>
          <w:szCs w:val="32"/>
        </w:rPr>
        <w:t>主要原因是工资普调等政策性原因及环保项目预算增加引发的收入支出增加。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right="0" w:firstLine="640" w:firstLineChars="200"/>
        <w:jc w:val="left"/>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809.77万元</w:t>
      </w:r>
      <w:r>
        <w:rPr>
          <w:rFonts w:hint="eastAsia" w:ascii="仿宋_GB2312" w:hAnsi="仿宋" w:eastAsia="仿宋_GB2312"/>
          <w:sz w:val="32"/>
          <w:szCs w:val="32"/>
          <w:lang w:eastAsia="zh-CN"/>
        </w:rPr>
        <w:t>，</w:t>
      </w:r>
      <w:r>
        <w:rPr>
          <w:rFonts w:hint="eastAsia" w:ascii="仿宋_GB2312" w:hAnsi="仿宋" w:eastAsia="仿宋_GB2312"/>
          <w:sz w:val="32"/>
          <w:szCs w:val="32"/>
        </w:rPr>
        <w:t>比上年</w:t>
      </w:r>
      <w:r>
        <w:rPr>
          <w:rFonts w:hint="eastAsia" w:ascii="仿宋_GB2312" w:hAnsi="仿宋" w:eastAsia="仿宋_GB2312"/>
          <w:sz w:val="32"/>
          <w:szCs w:val="32"/>
          <w:lang w:eastAsia="zh-CN"/>
        </w:rPr>
        <w:t>财政拨款支出</w:t>
      </w:r>
      <w:r>
        <w:rPr>
          <w:rFonts w:hint="eastAsia" w:ascii="仿宋" w:hAnsi="仿宋" w:eastAsia="仿宋" w:cs="仿宋"/>
          <w:color w:val="2B2B2B"/>
          <w:kern w:val="0"/>
          <w:sz w:val="32"/>
          <w:szCs w:val="32"/>
          <w:shd w:val="clear" w:fill="FFFFFF"/>
          <w:lang w:val="en-US" w:eastAsia="zh-CN" w:bidi="ar"/>
        </w:rPr>
        <w:t>729.91万元，</w:t>
      </w:r>
      <w:r>
        <w:rPr>
          <w:rFonts w:hint="eastAsia" w:ascii="仿宋_GB2312" w:hAnsi="宋体" w:eastAsia="仿宋_GB2312" w:cs="仿宋_GB2312"/>
          <w:color w:val="000000"/>
          <w:kern w:val="0"/>
          <w:sz w:val="32"/>
          <w:szCs w:val="32"/>
          <w:lang w:val="en-US" w:eastAsia="zh-CN" w:bidi="ar"/>
        </w:rPr>
        <w:t>增加</w:t>
      </w:r>
      <w:r>
        <w:rPr>
          <w:rFonts w:hint="eastAsia" w:ascii="仿宋_GB2312" w:hAnsi="仿宋" w:eastAsia="仿宋_GB2312"/>
          <w:sz w:val="32"/>
          <w:szCs w:val="32"/>
          <w:lang w:val="en-US" w:eastAsia="zh-CN"/>
        </w:rPr>
        <w:t>500.12万元，增加61.76%</w:t>
      </w:r>
      <w:r>
        <w:rPr>
          <w:rFonts w:hint="eastAsia" w:ascii="仿宋_GB2312" w:hAnsi="仿宋" w:eastAsia="仿宋_GB2312"/>
          <w:sz w:val="32"/>
          <w:szCs w:val="32"/>
        </w:rPr>
        <w:t>，</w:t>
      </w:r>
      <w:r>
        <w:rPr>
          <w:rFonts w:hint="eastAsia" w:ascii="仿宋_GB2312" w:hAnsi="仿宋_GB2312" w:eastAsia="仿宋_GB2312" w:cs="仿宋_GB2312"/>
          <w:sz w:val="32"/>
          <w:szCs w:val="32"/>
        </w:rPr>
        <w:t>主要原因是工资普调等政策性原因及环保项目预算增加引发的收入支出增加。</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809.77万元</w:t>
      </w:r>
      <w:r>
        <w:rPr>
          <w:rFonts w:hint="eastAsia" w:ascii="仿宋_GB2312" w:hAnsi="仿宋" w:eastAsia="仿宋_GB2312"/>
          <w:sz w:val="32"/>
          <w:szCs w:val="32"/>
          <w:lang w:eastAsia="zh-CN"/>
        </w:rPr>
        <w:t>，</w:t>
      </w:r>
      <w:r>
        <w:rPr>
          <w:rFonts w:hint="eastAsia" w:ascii="仿宋_GB2312" w:hAnsi="仿宋" w:eastAsia="仿宋_GB2312"/>
          <w:sz w:val="32"/>
          <w:szCs w:val="32"/>
        </w:rPr>
        <w:t>比上年</w:t>
      </w:r>
      <w:r>
        <w:rPr>
          <w:rFonts w:hint="eastAsia" w:ascii="仿宋_GB2312" w:hAnsi="仿宋" w:eastAsia="仿宋_GB2312"/>
          <w:sz w:val="32"/>
          <w:szCs w:val="32"/>
          <w:lang w:eastAsia="zh-CN"/>
        </w:rPr>
        <w:t>财政拨款支出</w:t>
      </w:r>
      <w:r>
        <w:rPr>
          <w:rFonts w:hint="eastAsia" w:ascii="仿宋" w:hAnsi="仿宋" w:eastAsia="仿宋" w:cs="仿宋"/>
          <w:color w:val="2B2B2B"/>
          <w:kern w:val="0"/>
          <w:sz w:val="32"/>
          <w:szCs w:val="32"/>
          <w:shd w:val="clear" w:fill="FFFFFF"/>
          <w:lang w:val="en-US" w:eastAsia="zh-CN" w:bidi="ar"/>
        </w:rPr>
        <w:t>729.91万元，</w:t>
      </w:r>
      <w:r>
        <w:rPr>
          <w:rFonts w:hint="eastAsia" w:ascii="仿宋_GB2312" w:hAnsi="宋体" w:eastAsia="仿宋_GB2312" w:cs="仿宋_GB2312"/>
          <w:color w:val="000000"/>
          <w:kern w:val="0"/>
          <w:sz w:val="32"/>
          <w:szCs w:val="32"/>
          <w:lang w:val="en-US" w:eastAsia="zh-CN" w:bidi="ar"/>
        </w:rPr>
        <w:t>增加</w:t>
      </w:r>
      <w:r>
        <w:rPr>
          <w:rFonts w:hint="eastAsia" w:ascii="仿宋_GB2312" w:hAnsi="仿宋" w:eastAsia="仿宋_GB2312"/>
          <w:sz w:val="32"/>
          <w:szCs w:val="32"/>
          <w:lang w:val="en-US" w:eastAsia="zh-CN"/>
        </w:rPr>
        <w:t>500.12万元，增加61.76%</w:t>
      </w:r>
      <w:r>
        <w:rPr>
          <w:rFonts w:hint="eastAsia" w:ascii="仿宋_GB2312" w:hAnsi="仿宋" w:eastAsia="仿宋_GB2312"/>
          <w:sz w:val="32"/>
          <w:szCs w:val="32"/>
        </w:rPr>
        <w:t>，</w:t>
      </w:r>
      <w:r>
        <w:rPr>
          <w:rFonts w:hint="eastAsia" w:ascii="仿宋_GB2312" w:hAnsi="仿宋_GB2312" w:eastAsia="仿宋_GB2312" w:cs="仿宋_GB2312"/>
          <w:sz w:val="32"/>
          <w:szCs w:val="32"/>
        </w:rPr>
        <w:t>主要原因是工资普调等政策性原因及环保项目预算增加引发的收入支出增加。</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年财政拨款支出年初预算为</w:t>
      </w:r>
      <w:r>
        <w:rPr>
          <w:rFonts w:hint="eastAsia" w:ascii="仿宋_GB2312" w:hAnsi="宋体" w:eastAsia="仿宋_GB2312" w:cs="仿宋_GB2312"/>
          <w:color w:val="000000"/>
          <w:kern w:val="0"/>
          <w:sz w:val="32"/>
          <w:szCs w:val="32"/>
          <w:lang w:val="en-US" w:eastAsia="zh-CN" w:bidi="ar"/>
        </w:rPr>
        <w:t>418.88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809.77</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超出</w:t>
      </w:r>
      <w:r>
        <w:rPr>
          <w:rFonts w:ascii="仿宋_GB2312" w:hAnsi="宋体" w:eastAsia="仿宋_GB2312" w:cs="仿宋_GB2312"/>
          <w:color w:val="000000"/>
          <w:kern w:val="0"/>
          <w:sz w:val="32"/>
          <w:szCs w:val="32"/>
          <w:lang w:bidi="ar"/>
        </w:rPr>
        <w:t>年初预算的</w:t>
      </w:r>
      <w:r>
        <w:rPr>
          <w:rFonts w:hint="eastAsia" w:ascii="仿宋_GB2312" w:hAnsi="宋体" w:eastAsia="仿宋_GB2312" w:cs="仿宋_GB2312"/>
          <w:color w:val="000000"/>
          <w:kern w:val="0"/>
          <w:sz w:val="32"/>
          <w:szCs w:val="32"/>
          <w:lang w:val="en-US" w:eastAsia="zh-CN" w:bidi="ar"/>
        </w:rPr>
        <w:t>93.31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其中：</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bidi="ar"/>
        </w:rPr>
        <w:t>节能环保支出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环境保护管理事务</w:t>
      </w:r>
      <w:r>
        <w:rPr>
          <w:rFonts w:ascii="仿宋_GB2312" w:hAnsi="宋体" w:eastAsia="仿宋_GB2312" w:cs="仿宋_GB2312"/>
          <w:b/>
          <w:color w:val="000000"/>
          <w:kern w:val="0"/>
          <w:sz w:val="32"/>
          <w:szCs w:val="32"/>
          <w:lang w:bidi="ar"/>
        </w:rPr>
        <w:t xml:space="preserve">（款）行政运行（项）。 </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40.57</w:t>
      </w:r>
      <w:r>
        <w:rPr>
          <w:rFonts w:hint="eastAsia"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104.30</w:t>
      </w:r>
      <w:r>
        <w:rPr>
          <w:rFonts w:hint="eastAsia"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257.08</w:t>
      </w:r>
      <w:r>
        <w:rPr>
          <w:rFonts w:hint="eastAsia" w:ascii="仿宋_GB2312" w:hAnsi="宋体" w:eastAsia="仿宋_GB2312" w:cs="仿宋_GB2312"/>
          <w:color w:val="000000"/>
          <w:kern w:val="0"/>
          <w:sz w:val="32"/>
          <w:szCs w:val="32"/>
          <w:lang w:bidi="ar"/>
        </w:rPr>
        <w:t>%，决算数大于预算数的主要原因是</w:t>
      </w:r>
      <w:r>
        <w:rPr>
          <w:rFonts w:ascii="仿宋_GB2312" w:hAnsi="宋体" w:eastAsia="仿宋_GB2312" w:cs="仿宋_GB2312"/>
          <w:color w:val="000000"/>
          <w:kern w:val="0"/>
          <w:sz w:val="32"/>
          <w:szCs w:val="32"/>
          <w:lang w:bidi="ar"/>
        </w:rPr>
        <w:t>是</w:t>
      </w:r>
      <w:r>
        <w:rPr>
          <w:rFonts w:hint="eastAsia" w:ascii="仿宋_GB2312" w:hAnsi="宋体" w:eastAsia="仿宋_GB2312" w:cs="仿宋_GB2312"/>
          <w:color w:val="000000"/>
          <w:kern w:val="0"/>
          <w:sz w:val="32"/>
          <w:szCs w:val="32"/>
          <w:lang w:bidi="ar"/>
        </w:rPr>
        <w:t>工资普调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人员调动</w:t>
      </w:r>
      <w:r>
        <w:rPr>
          <w:rFonts w:hint="eastAsia" w:ascii="仿宋_GB2312" w:hAnsi="宋体" w:eastAsia="仿宋_GB2312" w:cs="仿宋_GB2312"/>
          <w:color w:val="000000"/>
          <w:kern w:val="0"/>
          <w:sz w:val="32"/>
          <w:szCs w:val="32"/>
          <w:lang w:bidi="ar"/>
        </w:rPr>
        <w:t>等政策性原因。</w:t>
      </w:r>
    </w:p>
    <w:p>
      <w:pPr>
        <w:widowControl/>
        <w:numPr>
          <w:ilvl w:val="0"/>
          <w:numId w:val="0"/>
        </w:numPr>
        <w:ind w:firstLine="643"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2.</w:t>
      </w:r>
      <w:r>
        <w:rPr>
          <w:rFonts w:hint="eastAsia" w:ascii="仿宋_GB2312" w:hAnsi="宋体" w:eastAsia="仿宋_GB2312" w:cs="仿宋_GB2312"/>
          <w:b/>
          <w:color w:val="000000"/>
          <w:kern w:val="0"/>
          <w:sz w:val="32"/>
          <w:szCs w:val="32"/>
          <w:lang w:bidi="ar"/>
        </w:rPr>
        <w:t>节能环保支出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环境保护管理事务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其他环境保护管理事务支出（项）</w:t>
      </w:r>
      <w:r>
        <w:rPr>
          <w:rFonts w:ascii="仿宋_GB2312" w:hAnsi="宋体" w:eastAsia="仿宋_GB2312" w:cs="仿宋_GB2312"/>
          <w:b/>
          <w:color w:val="000000"/>
          <w:kern w:val="0"/>
          <w:sz w:val="32"/>
          <w:szCs w:val="32"/>
          <w:lang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198.31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138.25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161.91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决算数大于预算数的主要原因是加大环保力度致使支出增加。</w:t>
      </w:r>
    </w:p>
    <w:p>
      <w:pPr>
        <w:widowControl/>
        <w:numPr>
          <w:ilvl w:val="0"/>
          <w:numId w:val="0"/>
        </w:numPr>
        <w:ind w:firstLine="643"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3.</w:t>
      </w:r>
      <w:r>
        <w:rPr>
          <w:rFonts w:hint="eastAsia" w:ascii="仿宋_GB2312" w:hAnsi="宋体" w:eastAsia="仿宋_GB2312" w:cs="仿宋_GB2312"/>
          <w:b/>
          <w:color w:val="000000"/>
          <w:kern w:val="0"/>
          <w:sz w:val="32"/>
          <w:szCs w:val="32"/>
          <w:lang w:bidi="ar"/>
        </w:rPr>
        <w:t>节能环保支出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污染防治</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大气</w:t>
      </w:r>
      <w:r>
        <w:rPr>
          <w:rFonts w:hint="eastAsia" w:ascii="仿宋_GB2312" w:hAnsi="宋体" w:eastAsia="仿宋_GB2312" w:cs="仿宋_GB2312"/>
          <w:b/>
          <w:color w:val="000000"/>
          <w:kern w:val="0"/>
          <w:sz w:val="32"/>
          <w:szCs w:val="32"/>
          <w:lang w:bidi="ar"/>
        </w:rPr>
        <w:t>（项）</w:t>
      </w:r>
      <w:r>
        <w:rPr>
          <w:rFonts w:ascii="仿宋_GB2312" w:hAnsi="宋体" w:eastAsia="仿宋_GB2312" w:cs="仿宋_GB2312"/>
          <w:b/>
          <w:color w:val="000000"/>
          <w:kern w:val="0"/>
          <w:sz w:val="32"/>
          <w:szCs w:val="32"/>
          <w:lang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180.00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462.42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256.90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决算数大于预算数的主要原因是加大环保力度致使支出增加。</w:t>
      </w:r>
    </w:p>
    <w:p>
      <w:pPr>
        <w:widowControl/>
        <w:numPr>
          <w:ilvl w:val="0"/>
          <w:numId w:val="0"/>
        </w:numPr>
        <w:ind w:firstLine="643"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4.</w:t>
      </w:r>
      <w:r>
        <w:rPr>
          <w:rFonts w:hint="eastAsia" w:ascii="仿宋_GB2312" w:hAnsi="宋体" w:eastAsia="仿宋_GB2312" w:cs="仿宋_GB2312"/>
          <w:b/>
          <w:color w:val="000000"/>
          <w:kern w:val="0"/>
          <w:sz w:val="32"/>
          <w:szCs w:val="32"/>
          <w:lang w:bidi="ar"/>
        </w:rPr>
        <w:t>节能环保支出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污染防治</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水体</w:t>
      </w:r>
      <w:r>
        <w:rPr>
          <w:rFonts w:hint="eastAsia" w:ascii="仿宋_GB2312" w:hAnsi="宋体" w:eastAsia="仿宋_GB2312" w:cs="仿宋_GB2312"/>
          <w:b/>
          <w:color w:val="000000"/>
          <w:kern w:val="0"/>
          <w:sz w:val="32"/>
          <w:szCs w:val="32"/>
          <w:lang w:bidi="ar"/>
        </w:rPr>
        <w:t>（项）</w:t>
      </w:r>
      <w:r>
        <w:rPr>
          <w:rFonts w:ascii="仿宋_GB2312" w:hAnsi="宋体" w:eastAsia="仿宋_GB2312" w:cs="仿宋_GB2312"/>
          <w:b/>
          <w:color w:val="000000"/>
          <w:kern w:val="0"/>
          <w:sz w:val="32"/>
          <w:szCs w:val="32"/>
          <w:lang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100.00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决算数大于预算数的主要原因是加大环保力度致使支出增加。</w:t>
      </w:r>
    </w:p>
    <w:p>
      <w:pPr>
        <w:widowControl/>
        <w:numPr>
          <w:ilvl w:val="0"/>
          <w:numId w:val="0"/>
        </w:numPr>
        <w:ind w:firstLine="643"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color w:val="000000"/>
          <w:kern w:val="0"/>
          <w:sz w:val="32"/>
          <w:szCs w:val="32"/>
          <w:lang w:val="en-US" w:eastAsia="zh-CN" w:bidi="ar"/>
        </w:rPr>
        <w:t>5.</w:t>
      </w:r>
      <w:r>
        <w:rPr>
          <w:rFonts w:hint="eastAsia" w:ascii="仿宋_GB2312" w:hAnsi="宋体" w:eastAsia="仿宋_GB2312" w:cs="仿宋_GB2312"/>
          <w:b/>
          <w:color w:val="000000"/>
          <w:kern w:val="0"/>
          <w:sz w:val="32"/>
          <w:szCs w:val="32"/>
          <w:lang w:bidi="ar"/>
        </w:rPr>
        <w:t>城乡社区支出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城乡社区公共设施</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小城镇基础设施建设</w:t>
      </w:r>
      <w:r>
        <w:rPr>
          <w:rFonts w:hint="eastAsia" w:ascii="仿宋_GB2312" w:hAnsi="宋体" w:eastAsia="仿宋_GB2312" w:cs="仿宋_GB2312"/>
          <w:b/>
          <w:color w:val="000000"/>
          <w:kern w:val="0"/>
          <w:sz w:val="32"/>
          <w:szCs w:val="32"/>
          <w:lang w:bidi="ar"/>
        </w:rPr>
        <w:t>（项）</w:t>
      </w:r>
      <w:r>
        <w:rPr>
          <w:rFonts w:ascii="仿宋_GB2312" w:hAnsi="宋体" w:eastAsia="仿宋_GB2312" w:cs="仿宋_GB2312"/>
          <w:b/>
          <w:color w:val="000000"/>
          <w:kern w:val="0"/>
          <w:sz w:val="32"/>
          <w:szCs w:val="32"/>
          <w:lang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4.82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决算数大于预算数的主要原因是加大环保力度致使支出增加。</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242.55</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238.72</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3.83</w:t>
      </w:r>
      <w:r>
        <w:rPr>
          <w:rFonts w:ascii="仿宋_GB2312" w:hAnsi="仿宋_GB2312" w:eastAsia="仿宋_GB2312" w:cs="仿宋_GB2312"/>
          <w:color w:val="000000"/>
          <w:kern w:val="0"/>
          <w:sz w:val="31"/>
          <w:szCs w:val="31"/>
          <w:lang w:bidi="ar"/>
        </w:rPr>
        <w:t>万元。</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bidi="ar"/>
        </w:rPr>
        <w:t>人员经费</w:t>
      </w:r>
      <w:r>
        <w:rPr>
          <w:rFonts w:hint="eastAsia" w:ascii="仿宋_GB2312" w:hAnsi="仿宋_GB2312" w:eastAsia="仿宋_GB2312" w:cs="仿宋_GB2312"/>
          <w:color w:val="000000"/>
          <w:kern w:val="0"/>
          <w:sz w:val="31"/>
          <w:szCs w:val="31"/>
          <w:lang w:val="en-US" w:eastAsia="zh-CN" w:bidi="ar"/>
        </w:rPr>
        <w:t>238.72</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val="en-US" w:eastAsia="zh-CN" w:bidi="ar"/>
        </w:rPr>
        <w:t>主要包括：</w:t>
      </w:r>
      <w:r>
        <w:rPr>
          <w:rFonts w:ascii="仿宋_GB2312" w:hAnsi="仿宋_GB2312" w:eastAsia="仿宋_GB2312" w:cs="仿宋_GB2312"/>
          <w:color w:val="000000"/>
          <w:kern w:val="0"/>
          <w:sz w:val="31"/>
          <w:szCs w:val="31"/>
          <w:lang w:bidi="ar"/>
        </w:rPr>
        <w:t>基本工资</w:t>
      </w:r>
      <w:r>
        <w:rPr>
          <w:rFonts w:hint="eastAsia" w:ascii="仿宋_GB2312" w:hAnsi="仿宋_GB2312" w:eastAsia="仿宋_GB2312" w:cs="仿宋_GB2312"/>
          <w:color w:val="000000"/>
          <w:kern w:val="0"/>
          <w:sz w:val="31"/>
          <w:szCs w:val="31"/>
          <w:lang w:val="en-US" w:eastAsia="zh-CN" w:bidi="ar"/>
        </w:rPr>
        <w:t>64.78</w:t>
      </w:r>
      <w:r>
        <w:rPr>
          <w:rFonts w:hint="eastAsia"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，津贴补贴</w:t>
      </w:r>
      <w:r>
        <w:rPr>
          <w:rFonts w:hint="eastAsia" w:ascii="仿宋_GB2312" w:hAnsi="仿宋_GB2312" w:eastAsia="仿宋_GB2312" w:cs="仿宋_GB2312"/>
          <w:color w:val="000000"/>
          <w:kern w:val="0"/>
          <w:sz w:val="31"/>
          <w:szCs w:val="31"/>
          <w:lang w:val="en-US" w:eastAsia="zh-CN" w:bidi="ar"/>
        </w:rPr>
        <w:t>26.56万元，奖金36.70万元，伙食补助费4.59万元，绩效工资56.01万元，机关事业单位基本养老保险缴费18.45万元，职工基本医疗保险缴费7.10万元，其他社会保障缴费1.66万元，住房公积金22.78万元，对个人和家庭补助0.09万元，奖励金0.09万元。</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公用经费3.83万元，主要包括办公费0.40万元，电费0.15万元，差旅费0.07万元，维修费0.22万元，工会经费3.00万元。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3.64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3.64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不存在</w:t>
      </w:r>
      <w:r>
        <w:rPr>
          <w:rFonts w:hint="eastAsia" w:ascii="仿宋_GB2312" w:hAnsi="宋体" w:eastAsia="仿宋_GB2312" w:cs="仿宋_GB2312"/>
          <w:color w:val="000000"/>
          <w:kern w:val="0"/>
          <w:sz w:val="32"/>
          <w:szCs w:val="32"/>
          <w:lang w:bidi="ar"/>
        </w:rPr>
        <w:t>因公出国（境）团组</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公务接待情况。</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0.00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无</w:t>
      </w:r>
      <w:r>
        <w:rPr>
          <w:rFonts w:hint="eastAsia" w:ascii="仿宋_GB2312" w:hAnsi="宋体" w:eastAsia="仿宋_GB2312" w:cs="仿宋_GB2312"/>
          <w:color w:val="000000"/>
          <w:kern w:val="0"/>
          <w:sz w:val="32"/>
          <w:szCs w:val="32"/>
          <w:lang w:bidi="ar"/>
        </w:rPr>
        <w:t>因公出国（境）支出情况。</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年购置车辆</w:t>
      </w:r>
      <w:r>
        <w:rPr>
          <w:rFonts w:hint="eastAsia" w:ascii="仿宋_GB2312" w:hAnsi="仿宋" w:eastAsia="仿宋_GB2312"/>
          <w:sz w:val="32"/>
          <w:szCs w:val="32"/>
          <w:lang w:val="en-US" w:eastAsia="zh-CN"/>
        </w:rPr>
        <w:t>0</w:t>
      </w:r>
      <w:r>
        <w:rPr>
          <w:rFonts w:hint="eastAsia" w:ascii="仿宋_GB2312" w:hAnsi="仿宋_GB2312" w:eastAsia="仿宋_GB2312" w:cs="仿宋_GB2312"/>
          <w:sz w:val="32"/>
          <w:szCs w:val="32"/>
        </w:rPr>
        <w:t>台（如没有支出填0），</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无</w:t>
      </w:r>
      <w:r>
        <w:rPr>
          <w:rFonts w:hint="eastAsia" w:ascii="仿宋_GB2312" w:hAnsi="宋体" w:eastAsia="仿宋_GB2312" w:cs="仿宋_GB2312"/>
          <w:color w:val="000000"/>
          <w:kern w:val="0"/>
          <w:sz w:val="32"/>
          <w:szCs w:val="32"/>
          <w:lang w:bidi="ar"/>
        </w:rPr>
        <w:t>公务用车购置费用支出情况。</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2.82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0.00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无</w:t>
      </w:r>
      <w:r>
        <w:rPr>
          <w:rFonts w:hint="eastAsia" w:ascii="仿宋_GB2312" w:hAnsi="宋体" w:eastAsia="仿宋_GB2312" w:cs="仿宋_GB2312"/>
          <w:color w:val="000000"/>
          <w:kern w:val="0"/>
          <w:sz w:val="32"/>
          <w:szCs w:val="32"/>
          <w:lang w:bidi="ar"/>
        </w:rPr>
        <w:t>公务用车运行维护费用支出情况。</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年公务接待</w:t>
      </w:r>
      <w:r>
        <w:rPr>
          <w:rFonts w:hint="eastAsia" w:ascii="仿宋_GB2312" w:hAnsi="仿宋" w:eastAsia="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0.82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无</w:t>
      </w:r>
      <w:r>
        <w:rPr>
          <w:rFonts w:hint="eastAsia" w:ascii="仿宋_GB2312" w:hAnsi="宋体" w:eastAsia="仿宋_GB2312" w:cs="仿宋_GB2312"/>
          <w:color w:val="000000"/>
          <w:kern w:val="0"/>
          <w:sz w:val="32"/>
          <w:szCs w:val="32"/>
          <w:lang w:bidi="ar"/>
        </w:rPr>
        <w:t>公务接待费支出情况。</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drawing>
          <wp:inline distT="0" distB="0" distL="114300" distR="114300">
            <wp:extent cx="4727575" cy="2724785"/>
            <wp:effectExtent l="4445" t="4445" r="11430" b="1397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无</w:t>
      </w:r>
      <w:r>
        <w:rPr>
          <w:rFonts w:hint="eastAsia" w:ascii="仿宋_GB2312" w:hAnsi="宋体" w:eastAsia="仿宋_GB2312" w:cs="仿宋_GB2312"/>
          <w:color w:val="000000"/>
          <w:kern w:val="0"/>
          <w:sz w:val="32"/>
          <w:szCs w:val="32"/>
          <w:lang w:bidi="ar"/>
        </w:rPr>
        <w:t>培训费支出情况。</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0.00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无</w:t>
      </w:r>
      <w:r>
        <w:rPr>
          <w:rFonts w:hint="eastAsia" w:ascii="仿宋_GB2312" w:hAnsi="宋体" w:eastAsia="仿宋_GB2312" w:cs="仿宋_GB2312"/>
          <w:color w:val="000000"/>
          <w:kern w:val="0"/>
          <w:sz w:val="32"/>
          <w:szCs w:val="32"/>
          <w:lang w:bidi="ar"/>
        </w:rPr>
        <w:t>会议费支出情况。</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w:t>
      </w:r>
      <w:r>
        <w:rPr>
          <w:rFonts w:hint="eastAsia" w:ascii="黑体" w:hAnsi="黑体" w:eastAsia="黑体"/>
          <w:color w:val="000000"/>
          <w:kern w:val="0"/>
          <w:sz w:val="32"/>
          <w:szCs w:val="32"/>
          <w:lang w:bidi="ar"/>
        </w:rPr>
        <w:t>机关运行经费支出情况</w:t>
      </w:r>
      <w:r>
        <w:rPr>
          <w:rFonts w:hint="eastAsia" w:ascii="黑体" w:hAnsi="黑体" w:eastAsia="黑体"/>
          <w:color w:val="000000"/>
          <w:kern w:val="0"/>
          <w:sz w:val="32"/>
          <w:szCs w:val="32"/>
          <w:lang w:eastAsia="zh-CN" w:bidi="ar"/>
        </w:rPr>
        <w:t>说明</w:t>
      </w:r>
    </w:p>
    <w:p>
      <w:pPr>
        <w:widowControl/>
        <w:numPr>
          <w:ilvl w:val="0"/>
          <w:numId w:val="0"/>
        </w:numPr>
        <w:jc w:val="left"/>
        <w:rPr>
          <w:rFonts w:hint="default" w:ascii="仿宋" w:hAnsi="仿宋" w:eastAsia="仿宋" w:cs="楷体"/>
          <w:color w:val="0000FF"/>
          <w:kern w:val="0"/>
          <w:sz w:val="32"/>
          <w:szCs w:val="32"/>
          <w:lang w:val="en-US"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lang w:val="en-US" w:eastAsia="zh-CN"/>
        </w:rPr>
        <w:t>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4.40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3.83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87.04</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0.57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_GB2312" w:eastAsia="仿宋_GB2312" w:cs="仿宋_GB2312"/>
          <w:sz w:val="32"/>
          <w:szCs w:val="32"/>
          <w:lang w:val="en-US" w:eastAsia="zh-CN"/>
        </w:rPr>
        <w:t>机关运行经费较低</w:t>
      </w:r>
    </w:p>
    <w:p>
      <w:pPr>
        <w:widowControl/>
        <w:ind w:firstLine="640" w:firstLineChars="200"/>
        <w:jc w:val="left"/>
        <w:rPr>
          <w:rFonts w:hint="eastAsia" w:ascii="黑体" w:hAnsi="黑体" w:eastAsia="黑体"/>
          <w:color w:val="000000"/>
          <w:kern w:val="0"/>
          <w:sz w:val="32"/>
          <w:szCs w:val="32"/>
          <w:lang w:val="en-US" w:eastAsia="zh-CN" w:bidi="ar"/>
        </w:rPr>
      </w:pPr>
      <w:r>
        <w:rPr>
          <w:rFonts w:hint="eastAsia" w:ascii="黑体" w:hAnsi="黑体" w:eastAsia="黑体"/>
          <w:color w:val="000000"/>
          <w:kern w:val="0"/>
          <w:sz w:val="32"/>
          <w:szCs w:val="32"/>
          <w:lang w:val="en-US" w:eastAsia="zh-CN" w:bidi="ar"/>
        </w:rPr>
        <w:t xml:space="preserve">十一、政府采购支出情况说明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年无政府采购支出”</w:t>
      </w:r>
    </w:p>
    <w:p>
      <w:pPr>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十二、</w:t>
      </w:r>
      <w:r>
        <w:rPr>
          <w:rFonts w:hint="eastAsia" w:ascii="黑体" w:hAnsi="黑体" w:eastAsia="黑体"/>
          <w:color w:val="000000"/>
          <w:kern w:val="0"/>
          <w:sz w:val="32"/>
          <w:szCs w:val="32"/>
          <w:lang w:bidi="ar"/>
        </w:rPr>
        <w:t>国有资产占用及购置情况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567.22</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70.05</w:t>
      </w:r>
      <w:r>
        <w:rPr>
          <w:rFonts w:hint="eastAsia" w:ascii="仿宋_GB2312" w:hAnsi="仿宋_GB2312" w:eastAsia="仿宋_GB2312" w:cs="仿宋_GB2312"/>
          <w:sz w:val="32"/>
          <w:szCs w:val="32"/>
        </w:rPr>
        <w:t>%。组织对20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散煤治理清洁能源替代、农村清洁能源取暖</w:t>
      </w:r>
      <w:r>
        <w:rPr>
          <w:rFonts w:hint="eastAsia" w:ascii="仿宋_GB2312" w:hAnsi="仿宋_GB2312" w:eastAsia="仿宋_GB2312" w:cs="仿宋_GB2312"/>
          <w:color w:val="000000"/>
          <w:kern w:val="0"/>
          <w:sz w:val="31"/>
          <w:szCs w:val="31"/>
          <w:lang w:val="en-US" w:eastAsia="zh-CN" w:bidi="ar"/>
        </w:rPr>
        <w:t>项目</w:t>
      </w:r>
      <w:r>
        <w:rPr>
          <w:rFonts w:ascii="仿宋_GB2312" w:hAnsi="仿宋_GB2312" w:eastAsia="仿宋_GB2312" w:cs="仿宋_GB2312"/>
          <w:color w:val="000000"/>
          <w:kern w:val="0"/>
          <w:sz w:val="31"/>
          <w:szCs w:val="31"/>
          <w:lang w:bidi="ar"/>
        </w:rPr>
        <w:t>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462.42</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462.42</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val="en-US" w:eastAsia="zh-CN" w:bidi="ar"/>
        </w:rPr>
        <w:t>提高</w:t>
      </w:r>
      <w:r>
        <w:rPr>
          <w:rFonts w:hint="eastAsia" w:ascii="仿宋_GB2312" w:hAnsi="仿宋_GB2312" w:eastAsia="仿宋_GB2312" w:cs="仿宋_GB2312"/>
          <w:color w:val="000000"/>
          <w:kern w:val="0"/>
          <w:sz w:val="31"/>
          <w:szCs w:val="31"/>
          <w:lang w:bidi="ar"/>
        </w:rPr>
        <w:t>了</w:t>
      </w:r>
      <w:r>
        <w:rPr>
          <w:rFonts w:hint="eastAsia" w:ascii="仿宋_GB2312" w:hAnsi="仿宋_GB2312" w:eastAsia="仿宋_GB2312" w:cs="仿宋_GB2312"/>
          <w:color w:val="000000"/>
          <w:kern w:val="0"/>
          <w:sz w:val="31"/>
          <w:szCs w:val="31"/>
          <w:lang w:val="en-US" w:eastAsia="zh-CN" w:bidi="ar"/>
        </w:rPr>
        <w:t>清洁取暖覆盖程度</w:t>
      </w:r>
      <w:r>
        <w:rPr>
          <w:rFonts w:hint="eastAsia" w:ascii="仿宋_GB2312" w:hAnsi="仿宋_GB2312" w:eastAsia="仿宋_GB2312" w:cs="仿宋_GB2312"/>
          <w:color w:val="000000"/>
          <w:kern w:val="0"/>
          <w:sz w:val="31"/>
          <w:szCs w:val="31"/>
          <w:lang w:bidi="ar"/>
        </w:rPr>
        <w:t>，提升</w:t>
      </w:r>
      <w:r>
        <w:rPr>
          <w:rFonts w:hint="eastAsia" w:ascii="仿宋_GB2312" w:hAnsi="仿宋_GB2312" w:eastAsia="仿宋_GB2312" w:cs="仿宋_GB2312"/>
          <w:color w:val="000000"/>
          <w:kern w:val="0"/>
          <w:sz w:val="31"/>
          <w:szCs w:val="31"/>
          <w:lang w:val="en-US" w:eastAsia="zh-CN" w:bidi="ar"/>
        </w:rPr>
        <w:t>了大气</w:t>
      </w:r>
      <w:r>
        <w:rPr>
          <w:rFonts w:hint="eastAsia" w:ascii="仿宋_GB2312" w:hAnsi="仿宋_GB2312" w:eastAsia="仿宋_GB2312" w:cs="仿宋_GB2312"/>
          <w:color w:val="000000"/>
          <w:kern w:val="0"/>
          <w:sz w:val="31"/>
          <w:szCs w:val="31"/>
          <w:lang w:bidi="ar"/>
        </w:rPr>
        <w:t>质量。发现的问题及原因：周边环境会影响本地环境，大气飘散。下一步改进措施：提高全民环保意识，加大资金投入力度，持续加强环境治理，不断改善群众生活环境质量。</w:t>
      </w:r>
    </w:p>
    <w:p>
      <w:pPr>
        <w:widowControl/>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省级污水处理</w:t>
      </w:r>
      <w:r>
        <w:rPr>
          <w:rFonts w:hint="eastAsia" w:ascii="仿宋_GB2312" w:hAnsi="仿宋_GB2312" w:eastAsia="仿宋_GB2312" w:cs="仿宋_GB2312"/>
          <w:color w:val="000000"/>
          <w:kern w:val="0"/>
          <w:sz w:val="31"/>
          <w:szCs w:val="31"/>
          <w:lang w:val="en-US" w:eastAsia="zh-CN" w:bidi="ar"/>
        </w:rPr>
        <w:t>项目</w:t>
      </w:r>
      <w:r>
        <w:rPr>
          <w:rFonts w:ascii="仿宋_GB2312" w:hAnsi="仿宋_GB2312" w:eastAsia="仿宋_GB2312" w:cs="仿宋_GB2312"/>
          <w:color w:val="000000"/>
          <w:kern w:val="0"/>
          <w:sz w:val="31"/>
          <w:szCs w:val="31"/>
          <w:lang w:bidi="ar"/>
        </w:rPr>
        <w:t>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100.00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100.00</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val="en-US" w:eastAsia="zh-CN" w:bidi="ar"/>
        </w:rPr>
        <w:t>提高</w:t>
      </w:r>
      <w:r>
        <w:rPr>
          <w:rFonts w:hint="eastAsia" w:ascii="仿宋_GB2312" w:hAnsi="仿宋_GB2312" w:eastAsia="仿宋_GB2312" w:cs="仿宋_GB2312"/>
          <w:color w:val="000000"/>
          <w:kern w:val="0"/>
          <w:sz w:val="31"/>
          <w:szCs w:val="31"/>
          <w:lang w:bidi="ar"/>
        </w:rPr>
        <w:t>了</w:t>
      </w:r>
      <w:r>
        <w:rPr>
          <w:rFonts w:hint="eastAsia" w:ascii="仿宋_GB2312" w:hAnsi="仿宋_GB2312" w:eastAsia="仿宋_GB2312" w:cs="仿宋_GB2312"/>
          <w:color w:val="000000"/>
          <w:kern w:val="0"/>
          <w:sz w:val="31"/>
          <w:szCs w:val="31"/>
          <w:lang w:val="en-US" w:eastAsia="zh-CN" w:bidi="ar"/>
        </w:rPr>
        <w:t>污水处理能力</w:t>
      </w:r>
      <w:r>
        <w:rPr>
          <w:rFonts w:hint="eastAsia" w:ascii="仿宋_GB2312" w:hAnsi="仿宋_GB2312" w:eastAsia="仿宋_GB2312" w:cs="仿宋_GB2312"/>
          <w:color w:val="000000"/>
          <w:kern w:val="0"/>
          <w:sz w:val="31"/>
          <w:szCs w:val="31"/>
          <w:lang w:bidi="ar"/>
        </w:rPr>
        <w:t>，提发现的问题及原因：</w:t>
      </w:r>
      <w:r>
        <w:rPr>
          <w:rFonts w:hint="eastAsia" w:ascii="仿宋_GB2312" w:hAnsi="仿宋_GB2312" w:eastAsia="仿宋_GB2312" w:cs="仿宋_GB2312"/>
          <w:color w:val="000000"/>
          <w:kern w:val="0"/>
          <w:sz w:val="31"/>
          <w:szCs w:val="31"/>
          <w:lang w:val="en-US" w:eastAsia="zh-CN" w:bidi="ar"/>
        </w:rPr>
        <w:t>污水处理还有待提高</w:t>
      </w:r>
      <w:r>
        <w:rPr>
          <w:rFonts w:hint="eastAsia" w:ascii="仿宋_GB2312" w:hAnsi="仿宋_GB2312" w:eastAsia="仿宋_GB2312" w:cs="仿宋_GB2312"/>
          <w:color w:val="000000"/>
          <w:kern w:val="0"/>
          <w:sz w:val="31"/>
          <w:szCs w:val="31"/>
          <w:lang w:bidi="ar"/>
        </w:rPr>
        <w:t>。下一步改进措施：提高全民环保意识，加大资金投入力度，持续加强环境治理，不断改善群众生活环境质量。</w:t>
      </w:r>
    </w:p>
    <w:p>
      <w:pPr>
        <w:widowControl/>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畜禽养殖项目编制前期费</w:t>
      </w:r>
      <w:r>
        <w:rPr>
          <w:rFonts w:ascii="仿宋_GB2312" w:hAnsi="仿宋_GB2312" w:eastAsia="仿宋_GB2312" w:cs="仿宋_GB2312"/>
          <w:color w:val="000000"/>
          <w:kern w:val="0"/>
          <w:sz w:val="31"/>
          <w:szCs w:val="31"/>
          <w:lang w:bidi="ar"/>
        </w:rPr>
        <w:t>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4.80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4.80</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val="en-US" w:eastAsia="zh-CN" w:bidi="ar"/>
        </w:rPr>
        <w:t>提高</w:t>
      </w:r>
      <w:r>
        <w:rPr>
          <w:rFonts w:hint="eastAsia" w:ascii="仿宋_GB2312" w:hAnsi="仿宋_GB2312" w:eastAsia="仿宋_GB2312" w:cs="仿宋_GB2312"/>
          <w:color w:val="000000"/>
          <w:kern w:val="0"/>
          <w:sz w:val="31"/>
          <w:szCs w:val="31"/>
          <w:lang w:bidi="ar"/>
        </w:rPr>
        <w:t>了</w:t>
      </w:r>
      <w:r>
        <w:rPr>
          <w:rFonts w:hint="eastAsia" w:ascii="仿宋_GB2312" w:hAnsi="仿宋_GB2312" w:eastAsia="仿宋_GB2312" w:cs="仿宋_GB2312"/>
          <w:color w:val="000000"/>
          <w:kern w:val="0"/>
          <w:sz w:val="31"/>
          <w:szCs w:val="31"/>
          <w:lang w:eastAsia="zh-CN" w:bidi="ar"/>
        </w:rPr>
        <w:t>畜禽养殖</w:t>
      </w:r>
      <w:r>
        <w:rPr>
          <w:rFonts w:hint="eastAsia" w:ascii="仿宋_GB2312" w:hAnsi="仿宋_GB2312" w:eastAsia="仿宋_GB2312" w:cs="仿宋_GB2312"/>
          <w:color w:val="000000"/>
          <w:kern w:val="0"/>
          <w:sz w:val="31"/>
          <w:szCs w:val="31"/>
          <w:lang w:val="en-US" w:eastAsia="zh-CN" w:bidi="ar"/>
        </w:rPr>
        <w:t>规范化管理</w:t>
      </w:r>
      <w:r>
        <w:rPr>
          <w:rFonts w:hint="eastAsia" w:ascii="仿宋_GB2312" w:hAnsi="仿宋_GB2312" w:eastAsia="仿宋_GB2312" w:cs="仿宋_GB2312"/>
          <w:color w:val="000000"/>
          <w:kern w:val="0"/>
          <w:sz w:val="31"/>
          <w:szCs w:val="31"/>
          <w:lang w:bidi="ar"/>
        </w:rPr>
        <w:t>，提发现的问题及原因：</w:t>
      </w:r>
      <w:r>
        <w:rPr>
          <w:rFonts w:hint="eastAsia" w:ascii="仿宋_GB2312" w:hAnsi="仿宋_GB2312" w:eastAsia="仿宋_GB2312" w:cs="仿宋_GB2312"/>
          <w:color w:val="000000"/>
          <w:kern w:val="0"/>
          <w:sz w:val="31"/>
          <w:szCs w:val="31"/>
          <w:lang w:val="en-US" w:eastAsia="zh-CN" w:bidi="ar"/>
        </w:rPr>
        <w:t>畜禽养殖规范化管理还有待提高</w:t>
      </w:r>
      <w:r>
        <w:rPr>
          <w:rFonts w:hint="eastAsia" w:ascii="仿宋_GB2312" w:hAnsi="仿宋_GB2312" w:eastAsia="仿宋_GB2312" w:cs="仿宋_GB2312"/>
          <w:color w:val="000000"/>
          <w:kern w:val="0"/>
          <w:sz w:val="31"/>
          <w:szCs w:val="31"/>
          <w:lang w:bidi="ar"/>
        </w:rPr>
        <w:t>。下一步改进措施：提高全民环保意识，加大资金投入力度，持续加强环境治理，不断改善群众生活环境质量。</w:t>
      </w:r>
    </w:p>
    <w:p>
      <w:pPr>
        <w:rPr>
          <w:rFonts w:hint="eastAsia" w:ascii="仿宋_GB2312" w:hAnsi="仿宋_GB2312" w:eastAsia="仿宋_GB2312" w:cs="仿宋_GB2312"/>
          <w:color w:val="000000"/>
          <w:kern w:val="0"/>
          <w:sz w:val="31"/>
          <w:szCs w:val="31"/>
          <w:lang w:bidi="ar"/>
        </w:rPr>
        <w:sectPr>
          <w:pgSz w:w="11906" w:h="16838"/>
          <w:pgMar w:top="1985" w:right="1247" w:bottom="2098" w:left="1020" w:header="851" w:footer="992" w:gutter="0"/>
          <w:pgNumType w:fmt="numberInDash"/>
          <w:cols w:space="720" w:num="1"/>
          <w:docGrid w:type="lines" w:linePitch="315" w:charSpace="0"/>
        </w:sectPr>
      </w:pPr>
      <w:r>
        <w:rPr>
          <w:rFonts w:hint="eastAsia" w:ascii="仿宋_GB2312" w:hAnsi="仿宋_GB2312" w:eastAsia="仿宋_GB2312" w:cs="仿宋_GB2312"/>
          <w:color w:val="000000"/>
          <w:kern w:val="0"/>
          <w:sz w:val="31"/>
          <w:szCs w:val="31"/>
          <w:lang w:bidi="ar"/>
        </w:rPr>
        <w:br w:type="page"/>
      </w:r>
    </w:p>
    <w:p>
      <w:pPr>
        <w:widowControl/>
        <w:jc w:val="left"/>
        <w:rPr>
          <w:rFonts w:hint="eastAsia" w:ascii="楷体" w:hAnsi="楷体" w:eastAsia="楷体" w:cs="楷体"/>
          <w:sz w:val="32"/>
          <w:szCs w:val="32"/>
        </w:rPr>
        <w:sectPr>
          <w:pgSz w:w="11906" w:h="16838"/>
          <w:pgMar w:top="1985" w:right="1247" w:bottom="2098" w:left="1020" w:header="851" w:footer="992" w:gutter="0"/>
          <w:pgNumType w:fmt="numberInDash"/>
          <w:cols w:space="720" w:num="1"/>
          <w:docGrid w:type="lines" w:linePitch="315" w:charSpace="0"/>
        </w:sectPr>
      </w:pPr>
      <w:r>
        <w:rPr>
          <w:rFonts w:hint="eastAsia" w:ascii="楷体" w:hAnsi="楷体" w:eastAsia="楷体" w:cs="楷体"/>
          <w:sz w:val="32"/>
          <w:szCs w:val="32"/>
        </w:rPr>
        <w:object>
          <v:shape id="_x0000_i1025" o:spt="75" alt="" type="#_x0000_t75" style="height:593.95pt;width:486.6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r>
        <w:rPr>
          <w:rFonts w:hint="eastAsia" w:ascii="楷体" w:hAnsi="楷体" w:eastAsia="楷体" w:cs="楷体"/>
          <w:sz w:val="32"/>
          <w:szCs w:val="32"/>
        </w:rPr>
        <w:object>
          <v:shape id="_x0000_i1026" o:spt="75" alt="" type="#_x0000_t75" style="height:593.95pt;width:486.6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bookmarkStart w:id="0" w:name="_GoBack"/>
      <w:bookmarkEnd w:id="0"/>
    </w:p>
    <w:tbl>
      <w:tblPr>
        <w:tblStyle w:val="3"/>
        <w:tblW w:w="13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
        <w:gridCol w:w="586"/>
        <w:gridCol w:w="474"/>
        <w:gridCol w:w="311"/>
        <w:gridCol w:w="3156"/>
        <w:gridCol w:w="2506"/>
        <w:gridCol w:w="1023"/>
        <w:gridCol w:w="685"/>
        <w:gridCol w:w="686"/>
        <w:gridCol w:w="560"/>
        <w:gridCol w:w="1496"/>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3255" w:type="dxa"/>
            <w:gridSpan w:val="12"/>
            <w:tcBorders>
              <w:top w:val="nil"/>
              <w:left w:val="nil"/>
              <w:bottom w:val="nil"/>
              <w:right w:val="nil"/>
              <w:tl2br w:val="nil"/>
              <w:tr2bl w:val="nil"/>
            </w:tcBorders>
            <w:noWrap w:val="0"/>
            <w:vAlign w:val="top"/>
          </w:tcPr>
          <w:p>
            <w:pPr>
              <w:spacing w:beforeLines="0" w:afterLines="0"/>
              <w:jc w:val="center"/>
              <w:rPr>
                <w:rFonts w:hint="eastAsia" w:ascii="黑体" w:hAnsi="黑体" w:eastAsia="黑体"/>
                <w:color w:val="auto"/>
                <w:sz w:val="40"/>
                <w:szCs w:val="24"/>
              </w:rPr>
            </w:pPr>
            <w:r>
              <w:rPr>
                <w:rFonts w:hint="eastAsia" w:ascii="黑体" w:hAnsi="黑体" w:eastAsia="黑体"/>
                <w:color w:val="auto"/>
                <w:sz w:val="40"/>
                <w:szCs w:val="24"/>
              </w:rPr>
              <w:t>部门整体支出绩效自评表</w:t>
            </w:r>
          </w:p>
          <w:p>
            <w:pPr>
              <w:spacing w:beforeLines="0" w:afterLines="0"/>
              <w:jc w:val="center"/>
              <w:rPr>
                <w:rFonts w:hint="eastAsia" w:ascii="黑体" w:hAnsi="黑体" w:eastAsia="黑体"/>
                <w:color w:val="auto"/>
                <w:sz w:val="40"/>
                <w:szCs w:val="24"/>
              </w:rPr>
            </w:pPr>
            <w:r>
              <w:rPr>
                <w:rFonts w:hint="eastAsia" w:ascii="黑体" w:hAnsi="黑体" w:eastAsia="黑体"/>
                <w:color w:val="auto"/>
                <w:sz w:val="20"/>
                <w:szCs w:val="24"/>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964" w:type="dxa"/>
            <w:gridSpan w:val="5"/>
            <w:tcBorders>
              <w:top w:val="nil"/>
              <w:left w:val="nil"/>
              <w:bottom w:val="single" w:color="auto" w:sz="4" w:space="0"/>
              <w:right w:val="nil"/>
              <w:tl2br w:val="nil"/>
              <w:tr2bl w:val="nil"/>
            </w:tcBorders>
            <w:noWrap w:val="0"/>
            <w:vAlign w:val="top"/>
          </w:tcPr>
          <w:p>
            <w:pPr>
              <w:spacing w:beforeLines="0" w:afterLines="0"/>
              <w:jc w:val="left"/>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填报单位:杨陵区生态环境局</w:t>
            </w:r>
          </w:p>
        </w:tc>
        <w:tc>
          <w:tcPr>
            <w:tcW w:w="8291" w:type="dxa"/>
            <w:gridSpan w:val="7"/>
            <w:tcBorders>
              <w:top w:val="nil"/>
              <w:left w:val="nil"/>
              <w:bottom w:val="single" w:color="auto" w:sz="4" w:space="0"/>
              <w:right w:val="nil"/>
              <w:tl2br w:val="nil"/>
              <w:tr2bl w:val="nil"/>
            </w:tcBorders>
            <w:noWrap w:val="0"/>
            <w:vAlign w:val="top"/>
          </w:tcPr>
          <w:p>
            <w:pPr>
              <w:spacing w:beforeLines="0" w:afterLines="0"/>
              <w:jc w:val="left"/>
              <w:rPr>
                <w:rFonts w:hint="default" w:ascii="宋体" w:hAnsi="宋体" w:eastAsia="仿宋_GB2312"/>
                <w:color w:val="auto"/>
                <w:sz w:val="24"/>
                <w:szCs w:val="24"/>
                <w:lang w:val="en-US" w:eastAsia="zh-CN"/>
              </w:rPr>
            </w:pPr>
            <w:r>
              <w:rPr>
                <w:rFonts w:hint="eastAsia" w:ascii="仿宋_GB2312" w:hAnsi="仿宋_GB2312" w:eastAsia="仿宋_GB2312"/>
                <w:color w:val="auto"/>
                <w:sz w:val="24"/>
                <w:szCs w:val="24"/>
              </w:rPr>
              <w:t>自评得分：</w:t>
            </w:r>
            <w:r>
              <w:rPr>
                <w:rFonts w:hint="eastAsia" w:ascii="仿宋_GB2312" w:hAnsi="仿宋_GB2312" w:eastAsia="仿宋_GB2312"/>
                <w:color w:val="auto"/>
                <w:sz w:val="24"/>
                <w:szCs w:val="24"/>
                <w:lang w:val="en-US" w:eastAsia="zh-CN"/>
              </w:rPr>
              <w:t>88分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964"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（一）简要概述部门职能与职责。</w:t>
            </w:r>
          </w:p>
        </w:tc>
        <w:tc>
          <w:tcPr>
            <w:tcW w:w="8291"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改善我区生态环境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964"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（二）简要概述部门支出情况，按活动内容分类。</w:t>
            </w:r>
          </w:p>
        </w:tc>
        <w:tc>
          <w:tcPr>
            <w:tcW w:w="8291"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行政运行，业务经费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964"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（三）简要概述当年区委区政府下达的重点工作。</w:t>
            </w:r>
          </w:p>
        </w:tc>
        <w:tc>
          <w:tcPr>
            <w:tcW w:w="8291"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打好蓝天碧水净土保卫战与污染防治攻坚战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4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一级</w:t>
            </w:r>
          </w:p>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指标</w:t>
            </w:r>
          </w:p>
        </w:tc>
        <w:tc>
          <w:tcPr>
            <w:tcW w:w="5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二级</w:t>
            </w:r>
          </w:p>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指标</w:t>
            </w:r>
          </w:p>
        </w:tc>
        <w:tc>
          <w:tcPr>
            <w:tcW w:w="47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三级指标</w:t>
            </w:r>
          </w:p>
        </w:tc>
        <w:tc>
          <w:tcPr>
            <w:tcW w:w="31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分值</w:t>
            </w:r>
          </w:p>
        </w:tc>
        <w:tc>
          <w:tcPr>
            <w:tcW w:w="3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指标说明</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评分标准</w:t>
            </w:r>
          </w:p>
        </w:tc>
        <w:tc>
          <w:tcPr>
            <w:tcW w:w="102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指标值计算公式和数据获取方式</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年初目标值</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实际完成值</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_GB2312" w:hAnsi="楷体_GB2312" w:eastAsia="楷体_GB2312"/>
                <w:b/>
                <w:color w:val="auto"/>
                <w:sz w:val="20"/>
                <w:szCs w:val="24"/>
              </w:rPr>
            </w:pPr>
            <w:r>
              <w:rPr>
                <w:rFonts w:hint="eastAsia" w:ascii="楷体_GB2312" w:hAnsi="楷体_GB2312" w:eastAsia="楷体_GB2312"/>
                <w:b/>
                <w:color w:val="auto"/>
                <w:sz w:val="20"/>
                <w:szCs w:val="24"/>
              </w:rPr>
              <w:t>得分</w:t>
            </w:r>
          </w:p>
        </w:tc>
        <w:tc>
          <w:tcPr>
            <w:tcW w:w="149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b/>
                <w:color w:val="auto"/>
                <w:sz w:val="20"/>
                <w:szCs w:val="24"/>
              </w:rPr>
            </w:pPr>
            <w:r>
              <w:rPr>
                <w:rFonts w:hint="eastAsia" w:ascii="仿宋_GB2312" w:hAnsi="仿宋_GB2312" w:eastAsia="仿宋_GB2312"/>
                <w:b/>
                <w:color w:val="auto"/>
                <w:sz w:val="20"/>
                <w:szCs w:val="24"/>
              </w:rPr>
              <w:t>未完成原因分析与改进措施</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b/>
                <w:color w:val="auto"/>
                <w:sz w:val="20"/>
                <w:szCs w:val="24"/>
              </w:rPr>
            </w:pPr>
            <w:r>
              <w:rPr>
                <w:rFonts w:hint="eastAsia" w:ascii="仿宋_GB2312" w:hAnsi="仿宋_GB2312" w:eastAsia="仿宋_GB2312"/>
                <w:b/>
                <w:color w:val="auto"/>
                <w:sz w:val="20"/>
                <w:szCs w:val="24"/>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1" w:hRule="atLeast"/>
          <w:jc w:val="center"/>
        </w:trPr>
        <w:tc>
          <w:tcPr>
            <w:tcW w:w="4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投入</w:t>
            </w:r>
          </w:p>
        </w:tc>
        <w:tc>
          <w:tcPr>
            <w:tcW w:w="5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预算执行（25分）</w:t>
            </w:r>
          </w:p>
        </w:tc>
        <w:tc>
          <w:tcPr>
            <w:tcW w:w="47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完成率</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（10分）</w:t>
            </w:r>
          </w:p>
        </w:tc>
        <w:tc>
          <w:tcPr>
            <w:tcW w:w="31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10</w:t>
            </w:r>
          </w:p>
        </w:tc>
        <w:tc>
          <w:tcPr>
            <w:tcW w:w="3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预算完成率=（预算完成数/预算数）×100%，用以反映和考核部门（单位）预算完成程度。</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预算完成数：部门（单位）本年度实际完成的预算数。</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预算数：财政部门</w:t>
            </w:r>
            <w:r>
              <w:rPr>
                <w:rFonts w:hint="eastAsia" w:ascii="仿宋_GB2312" w:hAnsi="仿宋_GB2312" w:eastAsia="仿宋_GB2312"/>
                <w:color w:val="auto"/>
                <w:sz w:val="20"/>
                <w:szCs w:val="24"/>
                <w:lang w:eastAsia="zh-CN"/>
              </w:rPr>
              <w:t>公开</w:t>
            </w:r>
            <w:r>
              <w:rPr>
                <w:rFonts w:hint="eastAsia" w:ascii="仿宋_GB2312" w:hAnsi="仿宋_GB2312" w:eastAsia="仿宋_GB2312"/>
                <w:color w:val="auto"/>
                <w:sz w:val="20"/>
                <w:szCs w:val="24"/>
              </w:rPr>
              <w:t>的本年度部门（单位）预算数。</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预算完成率＝100%的，得10分。</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预算完成率≥95%的，得9分。</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预算完成率在90%（含）和95%之间，得8分。</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预算完成率在85%（含）和90%之间，得7分。</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预算完成率在80%（含）和85%之间，得6分。</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预算完成率在70%（含）和80%之间，得4分。</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预算完成率＜70%的，得0分。</w:t>
            </w:r>
          </w:p>
        </w:tc>
        <w:tc>
          <w:tcPr>
            <w:tcW w:w="102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w:t>
            </w:r>
            <w:r>
              <w:rPr>
                <w:rFonts w:hint="eastAsia" w:ascii="仿宋_GB2312" w:hAnsi="仿宋_GB2312" w:eastAsia="仿宋_GB2312"/>
                <w:color w:val="auto"/>
                <w:sz w:val="20"/>
                <w:szCs w:val="24"/>
                <w:lang w:val="en-US" w:eastAsia="zh-CN"/>
              </w:rPr>
              <w:t>418.88</w:t>
            </w:r>
            <w:r>
              <w:rPr>
                <w:rFonts w:hint="eastAsia" w:ascii="仿宋_GB2312" w:hAnsi="仿宋_GB2312" w:eastAsia="仿宋_GB2312"/>
                <w:color w:val="auto"/>
                <w:sz w:val="20"/>
                <w:szCs w:val="24"/>
              </w:rPr>
              <w:t>/</w:t>
            </w:r>
            <w:r>
              <w:rPr>
                <w:rFonts w:hint="eastAsia" w:ascii="仿宋_GB2312" w:hAnsi="仿宋_GB2312" w:eastAsia="仿宋_GB2312"/>
                <w:color w:val="auto"/>
                <w:sz w:val="20"/>
                <w:szCs w:val="24"/>
                <w:lang w:val="en-US" w:eastAsia="zh-CN"/>
              </w:rPr>
              <w:t>418.88</w:t>
            </w:r>
            <w:r>
              <w:rPr>
                <w:rFonts w:hint="eastAsia" w:ascii="仿宋_GB2312" w:hAnsi="仿宋_GB2312" w:eastAsia="仿宋_GB2312"/>
                <w:color w:val="auto"/>
                <w:sz w:val="20"/>
                <w:szCs w:val="24"/>
              </w:rPr>
              <w:t>）×100%</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100%</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&gt;100%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10</w:t>
            </w:r>
          </w:p>
        </w:tc>
        <w:tc>
          <w:tcPr>
            <w:tcW w:w="149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3" w:hRule="atLeast"/>
          <w:jc w:val="center"/>
        </w:trPr>
        <w:tc>
          <w:tcPr>
            <w:tcW w:w="437"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_GB2312" w:hAnsi="楷体_GB2312" w:eastAsia="楷体_GB2312"/>
                <w:color w:val="auto"/>
                <w:sz w:val="20"/>
                <w:szCs w:val="24"/>
              </w:rPr>
            </w:pPr>
          </w:p>
        </w:tc>
        <w:tc>
          <w:tcPr>
            <w:tcW w:w="586"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_GB2312" w:hAnsi="楷体_GB2312" w:eastAsia="楷体_GB2312"/>
                <w:color w:val="auto"/>
                <w:sz w:val="20"/>
                <w:szCs w:val="24"/>
              </w:rPr>
            </w:pPr>
          </w:p>
        </w:tc>
        <w:tc>
          <w:tcPr>
            <w:tcW w:w="474"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预算调整率</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（5分）</w:t>
            </w:r>
          </w:p>
        </w:tc>
        <w:tc>
          <w:tcPr>
            <w:tcW w:w="311"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5</w:t>
            </w:r>
          </w:p>
        </w:tc>
        <w:tc>
          <w:tcPr>
            <w:tcW w:w="3156"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预算调整率=（预算调整数/预算数）×100%，用以反映和考核部门（单位）预算的调整程度。</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预算调整数：部门（单位）在本年度内涉及预算的追加、追减或结构调整的资金总和（因落实国家政策、发生不可抗力、上级部门或本级党委政府临时交办而产生的调整除外）。</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预算包括一般公共预算与政府性基金预算。</w:t>
            </w:r>
          </w:p>
        </w:tc>
        <w:tc>
          <w:tcPr>
            <w:tcW w:w="2506"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预算调整率绝对值≤5%，得5分。</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预算调整率绝对值＞5%的，每增加0.1个百分点扣0.1分，扣完为止。</w:t>
            </w:r>
          </w:p>
          <w:p>
            <w:pPr>
              <w:spacing w:beforeLines="0" w:afterLines="0"/>
              <w:jc w:val="left"/>
              <w:rPr>
                <w:rFonts w:hint="eastAsia" w:ascii="仿宋_GB2312" w:hAnsi="仿宋_GB2312" w:eastAsia="仿宋_GB2312"/>
                <w:color w:val="auto"/>
                <w:sz w:val="20"/>
                <w:szCs w:val="24"/>
              </w:rPr>
            </w:pPr>
          </w:p>
        </w:tc>
        <w:tc>
          <w:tcPr>
            <w:tcW w:w="1023"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（390.89</w:t>
            </w:r>
            <w:r>
              <w:rPr>
                <w:rFonts w:hint="eastAsia" w:ascii="仿宋_GB2312" w:hAnsi="仿宋_GB2312" w:eastAsia="仿宋_GB2312"/>
                <w:color w:val="auto"/>
                <w:sz w:val="20"/>
                <w:szCs w:val="24"/>
              </w:rPr>
              <w:t>/</w:t>
            </w:r>
            <w:r>
              <w:rPr>
                <w:rFonts w:hint="eastAsia" w:ascii="仿宋_GB2312" w:hAnsi="仿宋_GB2312" w:eastAsia="仿宋_GB2312"/>
                <w:color w:val="auto"/>
                <w:sz w:val="20"/>
                <w:szCs w:val="24"/>
                <w:lang w:val="en-US" w:eastAsia="zh-CN"/>
              </w:rPr>
              <w:t>418.88</w:t>
            </w:r>
            <w:r>
              <w:rPr>
                <w:rFonts w:hint="eastAsia" w:ascii="仿宋_GB2312" w:hAnsi="仿宋_GB2312" w:eastAsia="仿宋_GB2312"/>
                <w:color w:val="auto"/>
                <w:sz w:val="20"/>
                <w:szCs w:val="24"/>
              </w:rPr>
              <w:t>）×100%</w:t>
            </w:r>
          </w:p>
        </w:tc>
        <w:tc>
          <w:tcPr>
            <w:tcW w:w="685"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&lt;10%</w:t>
            </w:r>
          </w:p>
        </w:tc>
        <w:tc>
          <w:tcPr>
            <w:tcW w:w="686"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&gt;10%</w:t>
            </w:r>
          </w:p>
        </w:tc>
        <w:tc>
          <w:tcPr>
            <w:tcW w:w="560" w:type="dxa"/>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0</w:t>
            </w:r>
          </w:p>
        </w:tc>
        <w:tc>
          <w:tcPr>
            <w:tcW w:w="2831" w:type="dxa"/>
            <w:gridSpan w:val="2"/>
            <w:tcBorders>
              <w:top w:val="single" w:color="auto" w:sz="4"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rPr>
              <w:t>提高预算能力和水平，加强预算执行力度。</w:t>
            </w:r>
          </w:p>
        </w:tc>
      </w:tr>
    </w:tbl>
    <w:p>
      <w:pPr>
        <w:widowControl/>
        <w:jc w:val="center"/>
        <w:rPr>
          <w:rFonts w:ascii="楷体" w:hAnsi="楷体" w:eastAsia="楷体" w:cs="楷体"/>
          <w:sz w:val="32"/>
          <w:szCs w:val="32"/>
        </w:rPr>
        <w:sectPr>
          <w:pgSz w:w="16838" w:h="11906" w:orient="landscape"/>
          <w:pgMar w:top="1588" w:right="2098" w:bottom="1474" w:left="1985" w:header="851" w:footer="992" w:gutter="0"/>
          <w:pgNumType w:fmt="numberInDash"/>
          <w:cols w:space="720" w:num="1"/>
          <w:docGrid w:type="lines" w:linePitch="315" w:charSpace="0"/>
        </w:sectPr>
      </w:pPr>
    </w:p>
    <w:tbl>
      <w:tblPr>
        <w:tblStyle w:val="3"/>
        <w:tblpPr w:leftFromText="180" w:rightFromText="180" w:vertAnchor="text" w:horzAnchor="page" w:tblpXSpec="center" w:tblpY="228"/>
        <w:tblOverlap w:val="never"/>
        <w:tblW w:w="13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616"/>
        <w:gridCol w:w="616"/>
        <w:gridCol w:w="417"/>
        <w:gridCol w:w="2931"/>
        <w:gridCol w:w="2292"/>
        <w:gridCol w:w="948"/>
        <w:gridCol w:w="716"/>
        <w:gridCol w:w="816"/>
        <w:gridCol w:w="538"/>
        <w:gridCol w:w="1378"/>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kern w:val="0"/>
                <w:sz w:val="20"/>
                <w:szCs w:val="20"/>
                <w:u w:val="none"/>
                <w:lang w:val="en-US" w:eastAsia="zh-CN" w:bidi="ar"/>
              </w:rPr>
            </w:pPr>
            <w:r>
              <w:rPr>
                <w:rFonts w:hint="eastAsia" w:ascii="楷体_GB2312" w:hAnsi="宋体" w:eastAsia="楷体_GB2312" w:cs="楷体_GB2312"/>
                <w:b/>
                <w:bCs/>
                <w:i w:val="0"/>
                <w:iCs w:val="0"/>
                <w:color w:val="auto"/>
                <w:kern w:val="0"/>
                <w:sz w:val="20"/>
                <w:szCs w:val="20"/>
                <w:u w:val="none"/>
                <w:lang w:val="en-US" w:eastAsia="zh-CN" w:bidi="ar"/>
              </w:rPr>
              <w:t>一级</w:t>
            </w:r>
          </w:p>
          <w:p>
            <w:pPr>
              <w:keepNext w:val="0"/>
              <w:keepLines w:val="0"/>
              <w:widowControl/>
              <w:suppressLineNumbers w:val="0"/>
              <w:jc w:val="center"/>
              <w:textAlignment w:val="center"/>
              <w:rPr>
                <w:rFonts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指标</w:t>
            </w:r>
          </w:p>
        </w:tc>
        <w:tc>
          <w:tcPr>
            <w:tcW w:w="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kern w:val="0"/>
                <w:sz w:val="20"/>
                <w:szCs w:val="20"/>
                <w:u w:val="none"/>
                <w:lang w:val="en-US" w:eastAsia="zh-CN" w:bidi="ar"/>
              </w:rPr>
            </w:pPr>
            <w:r>
              <w:rPr>
                <w:rFonts w:hint="eastAsia" w:ascii="楷体_GB2312" w:hAnsi="宋体" w:eastAsia="楷体_GB2312" w:cs="楷体_GB2312"/>
                <w:b/>
                <w:bCs/>
                <w:i w:val="0"/>
                <w:iCs w:val="0"/>
                <w:color w:val="auto"/>
                <w:kern w:val="0"/>
                <w:sz w:val="20"/>
                <w:szCs w:val="20"/>
                <w:u w:val="none"/>
                <w:lang w:val="en-US" w:eastAsia="zh-CN" w:bidi="ar"/>
              </w:rPr>
              <w:t>二级</w:t>
            </w:r>
          </w:p>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指标</w:t>
            </w:r>
          </w:p>
        </w:tc>
        <w:tc>
          <w:tcPr>
            <w:tcW w:w="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三级指标</w:t>
            </w:r>
          </w:p>
        </w:tc>
        <w:tc>
          <w:tcPr>
            <w:tcW w:w="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分值</w:t>
            </w:r>
          </w:p>
        </w:tc>
        <w:tc>
          <w:tcPr>
            <w:tcW w:w="29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指标说明</w:t>
            </w:r>
          </w:p>
        </w:tc>
        <w:tc>
          <w:tcPr>
            <w:tcW w:w="22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评分标准</w:t>
            </w:r>
          </w:p>
        </w:tc>
        <w:tc>
          <w:tcPr>
            <w:tcW w:w="9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指标值计算公式和数据获取方式</w:t>
            </w: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年初目标值</w:t>
            </w:r>
          </w:p>
        </w:tc>
        <w:tc>
          <w:tcPr>
            <w:tcW w:w="8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实际完成值</w:t>
            </w:r>
          </w:p>
        </w:tc>
        <w:tc>
          <w:tcPr>
            <w:tcW w:w="5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得分</w:t>
            </w:r>
          </w:p>
        </w:tc>
        <w:tc>
          <w:tcPr>
            <w:tcW w:w="13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monospace" w:hAnsi="宋体" w:eastAsia="monospace" w:cs="monospace"/>
                <w:b/>
                <w:bCs/>
                <w:i w:val="0"/>
                <w:iCs w:val="0"/>
                <w:color w:val="auto"/>
                <w:sz w:val="20"/>
                <w:szCs w:val="20"/>
                <w:u w:val="none"/>
              </w:rPr>
            </w:pPr>
            <w:r>
              <w:rPr>
                <w:rFonts w:hint="default" w:ascii="monospace" w:hAnsi="宋体" w:eastAsia="monospace" w:cs="monospace"/>
                <w:b/>
                <w:bCs/>
                <w:i w:val="0"/>
                <w:iCs w:val="0"/>
                <w:color w:val="auto"/>
                <w:kern w:val="0"/>
                <w:sz w:val="20"/>
                <w:szCs w:val="20"/>
                <w:u w:val="none"/>
                <w:lang w:val="en-US" w:eastAsia="zh-CN" w:bidi="ar"/>
              </w:rPr>
              <w:t>未完成原因分析与改进措施</w:t>
            </w:r>
          </w:p>
        </w:tc>
        <w:tc>
          <w:tcPr>
            <w:tcW w:w="12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monospace" w:hAnsi="宋体" w:eastAsia="monospace" w:cs="monospace"/>
                <w:b/>
                <w:bCs/>
                <w:i w:val="0"/>
                <w:iCs w:val="0"/>
                <w:color w:val="auto"/>
                <w:sz w:val="20"/>
                <w:szCs w:val="20"/>
                <w:u w:val="none"/>
              </w:rPr>
            </w:pPr>
            <w:r>
              <w:rPr>
                <w:rFonts w:hint="default" w:ascii="monospace" w:hAnsi="宋体" w:eastAsia="monospace" w:cs="monospace"/>
                <w:b/>
                <w:bCs/>
                <w:i w:val="0"/>
                <w:iCs w:val="0"/>
                <w:color w:val="auto"/>
                <w:kern w:val="0"/>
                <w:sz w:val="20"/>
                <w:szCs w:val="20"/>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1"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投入</w:t>
            </w:r>
          </w:p>
        </w:tc>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预算执行（25分）</w:t>
            </w:r>
          </w:p>
        </w:tc>
        <w:tc>
          <w:tcPr>
            <w:tcW w:w="6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支出进度率</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（5分）</w:t>
            </w:r>
          </w:p>
        </w:tc>
        <w:tc>
          <w:tcPr>
            <w:tcW w:w="417"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5</w:t>
            </w:r>
          </w:p>
        </w:tc>
        <w:tc>
          <w:tcPr>
            <w:tcW w:w="2931"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支出进度率=（实际支出/支出预算）×100%，用以反映和考核部门（单位）预算执行的及时性和均衡性程度。</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半年支出进度＝部门上半年实际支出/（上年结余结转+本年部门预算安排+上半年执行中追加追减）*100%。</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前三季度支出进度＝部门前三季度实际支出/（上年结余结转+本年部门预算安排+前三季度执行中追加追减）*100%。</w:t>
            </w:r>
          </w:p>
        </w:tc>
        <w:tc>
          <w:tcPr>
            <w:tcW w:w="2292"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半年进度：进度率≥45%，得2分；进度率在40%（含）和45%之间，得1分；进度率＜40%，得0分。</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前三季度进度：进度率≥75%，得3分；进度率在60%（含）和75%之间，得2分；进度率＜60%，得0分。</w:t>
            </w:r>
          </w:p>
        </w:tc>
        <w:tc>
          <w:tcPr>
            <w:tcW w:w="94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　</w:t>
            </w:r>
          </w:p>
        </w:tc>
        <w:tc>
          <w:tcPr>
            <w:tcW w:w="7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半年进度：进度率≥45%；</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前三季度进度：进度率≥75%。</w:t>
            </w:r>
          </w:p>
        </w:tc>
        <w:tc>
          <w:tcPr>
            <w:tcW w:w="8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半年进度率&lt;45%；</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前三季度进度率在60%（含）和75%之间</w:t>
            </w:r>
          </w:p>
        </w:tc>
        <w:tc>
          <w:tcPr>
            <w:tcW w:w="53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3</w:t>
            </w:r>
          </w:p>
        </w:tc>
        <w:tc>
          <w:tcPr>
            <w:tcW w:w="137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default" w:ascii="仿宋_GB2312" w:hAnsi="仿宋_GB2312" w:eastAsia="仿宋_GB2312"/>
                <w:color w:val="auto"/>
                <w:sz w:val="20"/>
                <w:szCs w:val="24"/>
              </w:rPr>
            </w:pPr>
            <w:r>
              <w:rPr>
                <w:rFonts w:hint="default" w:ascii="仿宋_GB2312" w:hAnsi="仿宋_GB2312" w:eastAsia="仿宋_GB2312"/>
                <w:color w:val="auto"/>
                <w:sz w:val="20"/>
                <w:szCs w:val="24"/>
                <w:lang w:val="en-US" w:eastAsia="zh-CN"/>
              </w:rPr>
              <w:t>政策性原因</w:t>
            </w:r>
          </w:p>
        </w:tc>
        <w:tc>
          <w:tcPr>
            <w:tcW w:w="1215"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default" w:ascii="仿宋_GB2312" w:hAnsi="仿宋_GB2312" w:eastAsia="仿宋_GB2312"/>
                <w:color w:val="auto"/>
                <w:sz w:val="20"/>
                <w:szCs w:val="24"/>
              </w:rPr>
            </w:pPr>
            <w:r>
              <w:rPr>
                <w:rFonts w:hint="default" w:ascii="仿宋_GB2312" w:hAnsi="仿宋_GB2312" w:eastAsia="仿宋_GB2312"/>
                <w:color w:val="auto"/>
                <w:sz w:val="20"/>
                <w:szCs w:val="24"/>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1" w:type="dxa"/>
            <w:vMerge w:val="continue"/>
            <w:tcBorders>
              <w:top w:val="nil"/>
              <w:left w:val="single" w:color="auto" w:sz="4" w:space="0"/>
              <w:bottom w:val="single" w:color="auto" w:sz="4" w:space="0"/>
              <w:right w:val="single" w:color="auto" w:sz="4" w:space="0"/>
            </w:tcBorders>
            <w:shd w:val="clear" w:color="auto" w:fill="auto"/>
            <w:noWrap/>
            <w:textDirection w:val="tbRlV"/>
            <w:vAlign w:val="center"/>
          </w:tcPr>
          <w:p>
            <w:pPr>
              <w:spacing w:beforeLines="0" w:afterLines="0"/>
              <w:jc w:val="left"/>
              <w:rPr>
                <w:rFonts w:hint="eastAsia" w:ascii="仿宋_GB2312" w:hAnsi="仿宋_GB2312" w:eastAsia="仿宋_GB2312"/>
                <w:color w:val="auto"/>
                <w:sz w:val="20"/>
                <w:szCs w:val="24"/>
              </w:rPr>
            </w:pPr>
          </w:p>
        </w:tc>
        <w:tc>
          <w:tcPr>
            <w:tcW w:w="616" w:type="dxa"/>
            <w:vMerge w:val="continue"/>
            <w:tcBorders>
              <w:top w:val="nil"/>
              <w:left w:val="single" w:color="auto" w:sz="4" w:space="0"/>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p>
        </w:tc>
        <w:tc>
          <w:tcPr>
            <w:tcW w:w="6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预算编制准确率（5分）</w:t>
            </w:r>
          </w:p>
        </w:tc>
        <w:tc>
          <w:tcPr>
            <w:tcW w:w="417"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5</w:t>
            </w:r>
          </w:p>
        </w:tc>
        <w:tc>
          <w:tcPr>
            <w:tcW w:w="2931"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部门预算中除财政拨款外的其他收入预算与决算差异率。</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预算编制准确率＝其他收入决算数/其他收入预算数×100%-100%。</w:t>
            </w:r>
          </w:p>
        </w:tc>
        <w:tc>
          <w:tcPr>
            <w:tcW w:w="2292"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预算编制准确率≤20%，得5分。</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预算编制准确率在20%和40%（含）之间，得3分。</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预算编制准确率＞40%，得0分。</w:t>
            </w:r>
          </w:p>
        </w:tc>
        <w:tc>
          <w:tcPr>
            <w:tcW w:w="94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　</w:t>
            </w:r>
          </w:p>
        </w:tc>
        <w:tc>
          <w:tcPr>
            <w:tcW w:w="7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≤20%</w:t>
            </w:r>
          </w:p>
        </w:tc>
        <w:tc>
          <w:tcPr>
            <w:tcW w:w="8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&gt;40%</w:t>
            </w:r>
          </w:p>
        </w:tc>
        <w:tc>
          <w:tcPr>
            <w:tcW w:w="53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0</w:t>
            </w:r>
          </w:p>
        </w:tc>
        <w:tc>
          <w:tcPr>
            <w:tcW w:w="137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default" w:ascii="仿宋_GB2312" w:hAnsi="仿宋_GB2312" w:eastAsia="仿宋_GB2312"/>
                <w:color w:val="auto"/>
                <w:sz w:val="20"/>
                <w:szCs w:val="24"/>
              </w:rPr>
            </w:pPr>
            <w:r>
              <w:rPr>
                <w:rFonts w:hint="default" w:ascii="仿宋_GB2312" w:hAnsi="仿宋_GB2312" w:eastAsia="仿宋_GB2312"/>
                <w:color w:val="auto"/>
                <w:sz w:val="20"/>
                <w:szCs w:val="24"/>
                <w:lang w:val="en-US" w:eastAsia="zh-CN"/>
              </w:rPr>
              <w:t>其他收入预算编制掌握度不够，以后要提高预算能力，加强对其他收入的预算。</w:t>
            </w:r>
          </w:p>
        </w:tc>
        <w:tc>
          <w:tcPr>
            <w:tcW w:w="1215"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default" w:ascii="仿宋_GB2312" w:hAnsi="仿宋_GB2312" w:eastAsia="仿宋_GB2312"/>
                <w:color w:val="auto"/>
                <w:sz w:val="20"/>
                <w:szCs w:val="24"/>
              </w:rPr>
            </w:pPr>
            <w:r>
              <w:rPr>
                <w:rFonts w:hint="default" w:ascii="仿宋_GB2312" w:hAnsi="仿宋_GB2312" w:eastAsia="仿宋_GB2312"/>
                <w:color w:val="auto"/>
                <w:sz w:val="20"/>
                <w:szCs w:val="24"/>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1"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过程</w:t>
            </w:r>
          </w:p>
        </w:tc>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预算管理（15分）</w:t>
            </w:r>
          </w:p>
        </w:tc>
        <w:tc>
          <w:tcPr>
            <w:tcW w:w="6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“三公经费”控制率</w:t>
            </w:r>
          </w:p>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（5分）</w:t>
            </w:r>
          </w:p>
        </w:tc>
        <w:tc>
          <w:tcPr>
            <w:tcW w:w="417"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5</w:t>
            </w:r>
          </w:p>
        </w:tc>
        <w:tc>
          <w:tcPr>
            <w:tcW w:w="2931"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“三公经费”控制率=（“三公经费”实际支出数/“三公经费”预算安排数）×100%，用以反映和考核部门（单位）对“三公经费”的实际控制程度。</w:t>
            </w:r>
          </w:p>
        </w:tc>
        <w:tc>
          <w:tcPr>
            <w:tcW w:w="2292"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三公经费控制率 ≤100%，得5分，每增加0.1个百分点扣0.5分，扣完为止。</w:t>
            </w:r>
          </w:p>
        </w:tc>
        <w:tc>
          <w:tcPr>
            <w:tcW w:w="94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　</w:t>
            </w:r>
          </w:p>
        </w:tc>
        <w:tc>
          <w:tcPr>
            <w:tcW w:w="7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&lt;100%</w:t>
            </w:r>
          </w:p>
        </w:tc>
        <w:tc>
          <w:tcPr>
            <w:tcW w:w="8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&lt;100%</w:t>
            </w:r>
          </w:p>
        </w:tc>
        <w:tc>
          <w:tcPr>
            <w:tcW w:w="53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rPr>
            </w:pPr>
            <w:r>
              <w:rPr>
                <w:rFonts w:hint="eastAsia" w:ascii="仿宋_GB2312" w:hAnsi="仿宋_GB2312" w:eastAsia="仿宋_GB2312"/>
                <w:color w:val="auto"/>
                <w:sz w:val="20"/>
                <w:szCs w:val="24"/>
                <w:lang w:val="en-US" w:eastAsia="zh-CN"/>
              </w:rPr>
              <w:t>5</w:t>
            </w:r>
          </w:p>
        </w:tc>
        <w:tc>
          <w:tcPr>
            <w:tcW w:w="137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default" w:ascii="仿宋_GB2312" w:hAnsi="仿宋_GB2312" w:eastAsia="仿宋_GB2312"/>
                <w:color w:val="auto"/>
                <w:sz w:val="20"/>
                <w:szCs w:val="24"/>
              </w:rPr>
            </w:pPr>
            <w:r>
              <w:rPr>
                <w:rFonts w:hint="default" w:ascii="仿宋_GB2312" w:hAnsi="仿宋_GB2312" w:eastAsia="仿宋_GB2312"/>
                <w:color w:val="auto"/>
                <w:sz w:val="20"/>
                <w:szCs w:val="24"/>
                <w:lang w:val="en-US" w:eastAsia="zh-CN"/>
              </w:rPr>
              <w:t>　</w:t>
            </w:r>
          </w:p>
        </w:tc>
        <w:tc>
          <w:tcPr>
            <w:tcW w:w="1215"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default" w:ascii="仿宋_GB2312" w:hAnsi="仿宋_GB2312" w:eastAsia="仿宋_GB2312"/>
                <w:color w:val="auto"/>
                <w:sz w:val="20"/>
                <w:szCs w:val="24"/>
              </w:rPr>
            </w:pPr>
            <w:r>
              <w:rPr>
                <w:rFonts w:hint="default" w:ascii="仿宋_GB2312" w:hAnsi="仿宋_GB2312" w:eastAsia="仿宋_GB2312"/>
                <w:color w:val="auto"/>
                <w:sz w:val="20"/>
                <w:szCs w:val="24"/>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1" w:type="dxa"/>
            <w:vMerge w:val="continue"/>
            <w:tcBorders>
              <w:top w:val="nil"/>
              <w:left w:val="single" w:color="auto" w:sz="4" w:space="0"/>
              <w:bottom w:val="single" w:color="auto" w:sz="4" w:space="0"/>
              <w:right w:val="single" w:color="auto" w:sz="4" w:space="0"/>
            </w:tcBorders>
            <w:shd w:val="clear" w:color="auto" w:fill="auto"/>
            <w:noWrap/>
            <w:textDirection w:val="tbRlV"/>
            <w:vAlign w:val="center"/>
          </w:tcPr>
          <w:p>
            <w:pPr>
              <w:jc w:val="center"/>
              <w:rPr>
                <w:rFonts w:hint="eastAsia" w:ascii="楷体_GB2312" w:hAnsi="宋体" w:eastAsia="楷体_GB2312" w:cs="楷体_GB2312"/>
                <w:i w:val="0"/>
                <w:iCs w:val="0"/>
                <w:color w:val="auto"/>
                <w:sz w:val="20"/>
                <w:szCs w:val="20"/>
                <w:u w:val="none"/>
              </w:rPr>
            </w:pPr>
          </w:p>
        </w:tc>
        <w:tc>
          <w:tcPr>
            <w:tcW w:w="616"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_GB2312" w:hAnsi="宋体" w:eastAsia="楷体_GB2312" w:cs="楷体_GB2312"/>
                <w:i w:val="0"/>
                <w:iCs w:val="0"/>
                <w:color w:val="auto"/>
                <w:sz w:val="20"/>
                <w:szCs w:val="20"/>
                <w:u w:val="none"/>
              </w:rPr>
            </w:pPr>
          </w:p>
        </w:tc>
        <w:tc>
          <w:tcPr>
            <w:tcW w:w="6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资产管理规范性</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（5分）</w:t>
            </w:r>
          </w:p>
        </w:tc>
        <w:tc>
          <w:tcPr>
            <w:tcW w:w="417"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5</w:t>
            </w:r>
          </w:p>
        </w:tc>
        <w:tc>
          <w:tcPr>
            <w:tcW w:w="2931"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部门（单位）资产管理是否规范，用以反映和考核部门（单位）资产管理情况。</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1.新增资产配置按预算执行。</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2.资产有偿使用、处置按规定程序审批。</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3.资产收益及时、足额上缴财政。</w:t>
            </w:r>
          </w:p>
        </w:tc>
        <w:tc>
          <w:tcPr>
            <w:tcW w:w="2292"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全部符合5分，有1项不符扣2分,扣完为止。</w:t>
            </w:r>
          </w:p>
        </w:tc>
        <w:tc>
          <w:tcPr>
            <w:tcW w:w="94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7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81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538"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5</w:t>
            </w:r>
          </w:p>
        </w:tc>
        <w:tc>
          <w:tcPr>
            <w:tcW w:w="1378" w:type="dxa"/>
            <w:tcBorders>
              <w:top w:val="nil"/>
              <w:left w:val="nil"/>
              <w:bottom w:val="single" w:color="auto" w:sz="4" w:space="0"/>
              <w:right w:val="single" w:color="auto" w:sz="4" w:space="0"/>
            </w:tcBorders>
            <w:shd w:val="clear" w:color="auto" w:fill="auto"/>
            <w:noWrap/>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1215" w:type="dxa"/>
            <w:tcBorders>
              <w:top w:val="nil"/>
              <w:left w:val="nil"/>
              <w:bottom w:val="single" w:color="auto" w:sz="4" w:space="0"/>
              <w:right w:val="single" w:color="auto" w:sz="4" w:space="0"/>
            </w:tcBorders>
            <w:shd w:val="clear" w:color="auto" w:fill="auto"/>
            <w:noWrap/>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r>
    </w:tbl>
    <w:p>
      <w:pPr>
        <w:rPr>
          <w:rFonts w:ascii="楷体" w:hAnsi="楷体" w:eastAsia="楷体" w:cs="楷体"/>
          <w:sz w:val="32"/>
          <w:szCs w:val="32"/>
        </w:rPr>
      </w:pPr>
      <w:r>
        <w:rPr>
          <w:rFonts w:ascii="楷体" w:hAnsi="楷体" w:eastAsia="楷体" w:cs="楷体"/>
          <w:sz w:val="32"/>
          <w:szCs w:val="32"/>
        </w:rPr>
        <w:br w:type="page"/>
      </w:r>
    </w:p>
    <w:tbl>
      <w:tblPr>
        <w:tblStyle w:val="3"/>
        <w:tblW w:w="13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616"/>
        <w:gridCol w:w="616"/>
        <w:gridCol w:w="417"/>
        <w:gridCol w:w="3073"/>
        <w:gridCol w:w="2468"/>
        <w:gridCol w:w="1012"/>
        <w:gridCol w:w="676"/>
        <w:gridCol w:w="676"/>
        <w:gridCol w:w="564"/>
        <w:gridCol w:w="1462"/>
        <w:gridCol w:w="1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jc w:val="center"/>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kern w:val="0"/>
                <w:sz w:val="20"/>
                <w:szCs w:val="20"/>
                <w:u w:val="none"/>
                <w:lang w:val="en-US" w:eastAsia="zh-CN" w:bidi="ar"/>
              </w:rPr>
            </w:pPr>
            <w:r>
              <w:rPr>
                <w:rFonts w:hint="eastAsia" w:ascii="楷体_GB2312" w:hAnsi="宋体" w:eastAsia="楷体_GB2312" w:cs="楷体_GB2312"/>
                <w:b/>
                <w:bCs/>
                <w:i w:val="0"/>
                <w:iCs w:val="0"/>
                <w:color w:val="auto"/>
                <w:kern w:val="0"/>
                <w:sz w:val="20"/>
                <w:szCs w:val="20"/>
                <w:u w:val="none"/>
                <w:lang w:val="en-US" w:eastAsia="zh-CN" w:bidi="ar"/>
              </w:rPr>
              <w:t>一级</w:t>
            </w:r>
          </w:p>
          <w:p>
            <w:pPr>
              <w:keepNext w:val="0"/>
              <w:keepLines w:val="0"/>
              <w:widowControl/>
              <w:suppressLineNumbers w:val="0"/>
              <w:jc w:val="center"/>
              <w:textAlignment w:val="center"/>
              <w:rPr>
                <w:rFonts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指标</w:t>
            </w:r>
          </w:p>
        </w:tc>
        <w:tc>
          <w:tcPr>
            <w:tcW w:w="5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kern w:val="0"/>
                <w:sz w:val="20"/>
                <w:szCs w:val="20"/>
                <w:u w:val="none"/>
                <w:lang w:val="en-US" w:eastAsia="zh-CN" w:bidi="ar"/>
              </w:rPr>
            </w:pPr>
            <w:r>
              <w:rPr>
                <w:rFonts w:hint="eastAsia" w:ascii="楷体_GB2312" w:hAnsi="宋体" w:eastAsia="楷体_GB2312" w:cs="楷体_GB2312"/>
                <w:b/>
                <w:bCs/>
                <w:i w:val="0"/>
                <w:iCs w:val="0"/>
                <w:color w:val="auto"/>
                <w:kern w:val="0"/>
                <w:sz w:val="20"/>
                <w:szCs w:val="20"/>
                <w:u w:val="none"/>
                <w:lang w:val="en-US" w:eastAsia="zh-CN" w:bidi="ar"/>
              </w:rPr>
              <w:t>二级</w:t>
            </w:r>
          </w:p>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指标</w:t>
            </w:r>
          </w:p>
        </w:tc>
        <w:tc>
          <w:tcPr>
            <w:tcW w:w="5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三级指标</w:t>
            </w:r>
          </w:p>
        </w:tc>
        <w:tc>
          <w:tcPr>
            <w:tcW w:w="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分值</w:t>
            </w:r>
          </w:p>
        </w:tc>
        <w:tc>
          <w:tcPr>
            <w:tcW w:w="3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指标说明</w:t>
            </w:r>
          </w:p>
        </w:tc>
        <w:tc>
          <w:tcPr>
            <w:tcW w:w="25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评分标准</w:t>
            </w:r>
          </w:p>
        </w:tc>
        <w:tc>
          <w:tcPr>
            <w:tcW w:w="1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指标值计算公式和数据获取方式</w:t>
            </w:r>
          </w:p>
        </w:tc>
        <w:tc>
          <w:tcPr>
            <w:tcW w:w="6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年初目标值</w:t>
            </w:r>
          </w:p>
        </w:tc>
        <w:tc>
          <w:tcPr>
            <w:tcW w:w="6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实际完成值</w:t>
            </w:r>
          </w:p>
        </w:tc>
        <w:tc>
          <w:tcPr>
            <w:tcW w:w="5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auto"/>
                <w:sz w:val="20"/>
                <w:szCs w:val="20"/>
                <w:u w:val="none"/>
              </w:rPr>
            </w:pPr>
            <w:r>
              <w:rPr>
                <w:rFonts w:hint="eastAsia" w:ascii="楷体_GB2312" w:hAnsi="宋体" w:eastAsia="楷体_GB2312" w:cs="楷体_GB2312"/>
                <w:b/>
                <w:bCs/>
                <w:i w:val="0"/>
                <w:iCs w:val="0"/>
                <w:color w:val="auto"/>
                <w:kern w:val="0"/>
                <w:sz w:val="20"/>
                <w:szCs w:val="20"/>
                <w:u w:val="none"/>
                <w:lang w:val="en-US" w:eastAsia="zh-CN" w:bidi="ar"/>
              </w:rPr>
              <w:t>得分</w:t>
            </w:r>
          </w:p>
        </w:tc>
        <w:tc>
          <w:tcPr>
            <w:tcW w:w="15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monospace" w:hAnsi="宋体" w:eastAsia="monospace" w:cs="monospace"/>
                <w:b/>
                <w:bCs/>
                <w:i w:val="0"/>
                <w:iCs w:val="0"/>
                <w:color w:val="auto"/>
                <w:sz w:val="20"/>
                <w:szCs w:val="20"/>
                <w:u w:val="none"/>
              </w:rPr>
            </w:pPr>
            <w:r>
              <w:rPr>
                <w:rFonts w:hint="default" w:ascii="monospace" w:hAnsi="宋体" w:eastAsia="monospace" w:cs="monospace"/>
                <w:b/>
                <w:bCs/>
                <w:i w:val="0"/>
                <w:iCs w:val="0"/>
                <w:color w:val="auto"/>
                <w:kern w:val="0"/>
                <w:sz w:val="20"/>
                <w:szCs w:val="20"/>
                <w:u w:val="none"/>
                <w:lang w:val="en-US" w:eastAsia="zh-CN" w:bidi="ar"/>
              </w:rPr>
              <w:t>未完成原因分析与改进措施</w:t>
            </w:r>
          </w:p>
        </w:tc>
        <w:tc>
          <w:tcPr>
            <w:tcW w:w="13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monospace" w:hAnsi="宋体" w:eastAsia="monospace" w:cs="monospace"/>
                <w:b/>
                <w:bCs/>
                <w:i w:val="0"/>
                <w:iCs w:val="0"/>
                <w:color w:val="auto"/>
                <w:sz w:val="20"/>
                <w:szCs w:val="20"/>
                <w:u w:val="none"/>
              </w:rPr>
            </w:pPr>
            <w:r>
              <w:rPr>
                <w:rFonts w:hint="default" w:ascii="monospace" w:hAnsi="宋体" w:eastAsia="monospace" w:cs="monospace"/>
                <w:b/>
                <w:bCs/>
                <w:i w:val="0"/>
                <w:iCs w:val="0"/>
                <w:color w:val="auto"/>
                <w:kern w:val="0"/>
                <w:sz w:val="20"/>
                <w:szCs w:val="20"/>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9" w:hRule="atLeast"/>
          <w:jc w:val="center"/>
        </w:trPr>
        <w:tc>
          <w:tcPr>
            <w:tcW w:w="0" w:type="auto"/>
            <w:tcBorders>
              <w:top w:val="nil"/>
              <w:left w:val="single" w:color="auto" w:sz="4" w:space="0"/>
              <w:bottom w:val="single" w:color="auto" w:sz="4" w:space="0"/>
              <w:right w:val="single" w:color="auto" w:sz="4" w:space="0"/>
            </w:tcBorders>
            <w:shd w:val="clear" w:color="auto" w:fill="auto"/>
            <w:noWrap/>
            <w:textDirection w:val="tbRlV"/>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过程</w:t>
            </w:r>
          </w:p>
        </w:tc>
        <w:tc>
          <w:tcPr>
            <w:tcW w:w="58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预算管理（15分）</w:t>
            </w:r>
          </w:p>
        </w:tc>
        <w:tc>
          <w:tcPr>
            <w:tcW w:w="517"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资金使用合规性</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（5分）</w:t>
            </w:r>
          </w:p>
        </w:tc>
        <w:tc>
          <w:tcPr>
            <w:tcW w:w="350"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5</w:t>
            </w:r>
          </w:p>
        </w:tc>
        <w:tc>
          <w:tcPr>
            <w:tcW w:w="3171"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部门（单位）使用预算资金是否符合相关的预算财务管理制度的规定，用以反映和考核部门（单位）预算资金的规范运行情况。</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1.符合国家财经法规和财务管理制度规定以及有关专项资金管理办法的规定；</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2.资金的拨付有完整的审批程序和手续；</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3.重大项目开支经过评估论证；</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4.符合部门预算公开的用途；</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5.不存在截留、挤占、挪用、虚列支出等情况。</w:t>
            </w:r>
          </w:p>
        </w:tc>
        <w:tc>
          <w:tcPr>
            <w:tcW w:w="2525"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全部符合5分,有1项不符扣2分。</w:t>
            </w:r>
          </w:p>
        </w:tc>
        <w:tc>
          <w:tcPr>
            <w:tcW w:w="103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68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5</w:t>
            </w:r>
          </w:p>
        </w:tc>
        <w:tc>
          <w:tcPr>
            <w:tcW w:w="68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5</w:t>
            </w:r>
          </w:p>
        </w:tc>
        <w:tc>
          <w:tcPr>
            <w:tcW w:w="570"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0" w:type="auto"/>
            <w:tcBorders>
              <w:top w:val="nil"/>
              <w:left w:val="nil"/>
              <w:bottom w:val="single" w:color="auto" w:sz="4" w:space="0"/>
              <w:right w:val="single" w:color="auto" w:sz="4" w:space="0"/>
            </w:tcBorders>
            <w:shd w:val="clear" w:color="auto" w:fill="auto"/>
            <w:noWrap/>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效果</w:t>
            </w:r>
          </w:p>
        </w:tc>
        <w:tc>
          <w:tcPr>
            <w:tcW w:w="586" w:type="dxa"/>
            <w:vMerge w:val="restart"/>
            <w:tcBorders>
              <w:top w:val="nil"/>
              <w:left w:val="single" w:color="auto" w:sz="4" w:space="0"/>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履职尽责（60分）</w:t>
            </w:r>
          </w:p>
        </w:tc>
        <w:tc>
          <w:tcPr>
            <w:tcW w:w="517"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项目产出</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（40分）</w:t>
            </w:r>
          </w:p>
        </w:tc>
        <w:tc>
          <w:tcPr>
            <w:tcW w:w="350"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40</w:t>
            </w:r>
          </w:p>
        </w:tc>
        <w:tc>
          <w:tcPr>
            <w:tcW w:w="3171"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2525" w:type="dxa"/>
            <w:vMerge w:val="restart"/>
            <w:tcBorders>
              <w:top w:val="nil"/>
              <w:left w:val="single" w:color="auto" w:sz="4" w:space="0"/>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1.若为定性指标，根据“三档”原则分别按照指标分值的100-80%（含）、80-50%（含）、50-10%来记分；</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03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68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68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570"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40</w:t>
            </w:r>
          </w:p>
        </w:tc>
        <w:tc>
          <w:tcPr>
            <w:tcW w:w="0" w:type="auto"/>
            <w:tcBorders>
              <w:top w:val="nil"/>
              <w:left w:val="nil"/>
              <w:bottom w:val="single" w:color="auto" w:sz="4" w:space="0"/>
              <w:right w:val="single" w:color="auto" w:sz="4" w:space="0"/>
            </w:tcBorders>
            <w:shd w:val="clear" w:color="auto" w:fill="auto"/>
            <w:noWrap/>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0" w:type="auto"/>
            <w:tcBorders>
              <w:top w:val="nil"/>
              <w:left w:val="nil"/>
              <w:bottom w:val="single" w:color="auto" w:sz="4" w:space="0"/>
              <w:right w:val="single" w:color="auto" w:sz="4" w:space="0"/>
            </w:tcBorders>
            <w:shd w:val="clear" w:color="auto" w:fill="auto"/>
            <w:noWrap/>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textDirection w:val="tbRlV"/>
            <w:vAlign w:val="center"/>
          </w:tcPr>
          <w:p>
            <w:pPr>
              <w:jc w:val="center"/>
              <w:rPr>
                <w:rFonts w:hint="eastAsia" w:ascii="楷体_GB2312" w:hAnsi="宋体" w:eastAsia="楷体_GB2312" w:cs="楷体_GB2312"/>
                <w:i w:val="0"/>
                <w:iCs w:val="0"/>
                <w:color w:val="auto"/>
                <w:sz w:val="20"/>
                <w:szCs w:val="20"/>
                <w:u w:val="none"/>
              </w:rPr>
            </w:pPr>
          </w:p>
        </w:tc>
        <w:tc>
          <w:tcPr>
            <w:tcW w:w="586"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_GB2312" w:hAnsi="宋体" w:eastAsia="楷体_GB2312" w:cs="楷体_GB2312"/>
                <w:i w:val="0"/>
                <w:iCs w:val="0"/>
                <w:color w:val="auto"/>
                <w:sz w:val="20"/>
                <w:szCs w:val="20"/>
                <w:u w:val="none"/>
              </w:rPr>
            </w:pPr>
          </w:p>
        </w:tc>
        <w:tc>
          <w:tcPr>
            <w:tcW w:w="517"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项目效益</w:t>
            </w:r>
          </w:p>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（20分）</w:t>
            </w:r>
          </w:p>
        </w:tc>
        <w:tc>
          <w:tcPr>
            <w:tcW w:w="350"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20</w:t>
            </w:r>
          </w:p>
        </w:tc>
        <w:tc>
          <w:tcPr>
            <w:tcW w:w="3171"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2525" w:type="dxa"/>
            <w:vMerge w:val="continue"/>
            <w:tcBorders>
              <w:top w:val="nil"/>
              <w:left w:val="single" w:color="auto" w:sz="4" w:space="0"/>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p>
        </w:tc>
        <w:tc>
          <w:tcPr>
            <w:tcW w:w="1036"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　</w:t>
            </w:r>
          </w:p>
        </w:tc>
        <w:tc>
          <w:tcPr>
            <w:tcW w:w="6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20"/>
                <w:szCs w:val="20"/>
                <w:u w:val="none"/>
              </w:rPr>
            </w:pPr>
            <w:r>
              <w:rPr>
                <w:rFonts w:hint="eastAsia" w:ascii="楷体_GB2312" w:hAnsi="宋体" w:eastAsia="楷体_GB2312" w:cs="楷体_GB2312"/>
                <w:i w:val="0"/>
                <w:iCs w:val="0"/>
                <w:color w:val="auto"/>
                <w:kern w:val="0"/>
                <w:sz w:val="20"/>
                <w:szCs w:val="20"/>
                <w:u w:val="none"/>
                <w:lang w:val="en-US" w:eastAsia="zh-CN" w:bidi="ar"/>
              </w:rPr>
              <w:t>　</w:t>
            </w:r>
          </w:p>
        </w:tc>
        <w:tc>
          <w:tcPr>
            <w:tcW w:w="6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auto"/>
                <w:sz w:val="20"/>
                <w:szCs w:val="20"/>
                <w:u w:val="none"/>
              </w:rPr>
            </w:pPr>
            <w:r>
              <w:rPr>
                <w:rFonts w:hint="eastAsia" w:ascii="楷体_GB2312" w:hAnsi="宋体" w:eastAsia="楷体_GB2312" w:cs="楷体_GB2312"/>
                <w:i w:val="0"/>
                <w:iCs w:val="0"/>
                <w:color w:val="auto"/>
                <w:kern w:val="0"/>
                <w:sz w:val="20"/>
                <w:szCs w:val="20"/>
                <w:u w:val="none"/>
                <w:lang w:val="en-US" w:eastAsia="zh-CN" w:bidi="ar"/>
              </w:rPr>
              <w:t>　</w:t>
            </w:r>
          </w:p>
        </w:tc>
        <w:tc>
          <w:tcPr>
            <w:tcW w:w="570" w:type="dxa"/>
            <w:tcBorders>
              <w:top w:val="nil"/>
              <w:left w:val="nil"/>
              <w:bottom w:val="single" w:color="auto" w:sz="4" w:space="0"/>
              <w:right w:val="single" w:color="auto" w:sz="4" w:space="0"/>
            </w:tcBorders>
            <w:shd w:val="clear" w:color="auto" w:fill="auto"/>
            <w:vAlign w:val="center"/>
          </w:tcPr>
          <w:p>
            <w:pPr>
              <w:spacing w:beforeLines="0" w:afterLines="0"/>
              <w:jc w:val="left"/>
              <w:rPr>
                <w:rFonts w:hint="eastAsia" w:ascii="仿宋_GB2312" w:hAnsi="仿宋_GB2312" w:eastAsia="仿宋_GB2312"/>
                <w:color w:val="auto"/>
                <w:sz w:val="20"/>
                <w:szCs w:val="24"/>
                <w:lang w:val="en-US" w:eastAsia="zh-CN"/>
              </w:rPr>
            </w:pPr>
            <w:r>
              <w:rPr>
                <w:rFonts w:hint="eastAsia" w:ascii="仿宋_GB2312" w:hAnsi="仿宋_GB2312" w:eastAsia="仿宋_GB2312"/>
                <w:color w:val="auto"/>
                <w:sz w:val="20"/>
                <w:szCs w:val="24"/>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341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备注：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1.“项目产出”和“项目效果”直接细化成部门年初绩效目标中的指标，并根据重要程度赋权。</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sectPr>
          <w:pgSz w:w="16838" w:h="11906" w:orient="landscape"/>
          <w:pgMar w:top="1588" w:right="2098" w:bottom="1474" w:left="1985" w:header="851" w:footer="992" w:gutter="0"/>
          <w:pgNumType w:fmt="numberInDash"/>
          <w:cols w:space="720" w:num="1"/>
          <w:docGrid w:type="lines" w:linePitch="315" w:charSpace="0"/>
        </w:sect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A7EBA"/>
    <w:multiLevelType w:val="singleLevel"/>
    <w:tmpl w:val="EABA7E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710AFF"/>
    <w:rsid w:val="040B4AE3"/>
    <w:rsid w:val="0A0666F4"/>
    <w:rsid w:val="1519767C"/>
    <w:rsid w:val="1F1A6FEC"/>
    <w:rsid w:val="209B00F9"/>
    <w:rsid w:val="298C4B95"/>
    <w:rsid w:val="29DE2655"/>
    <w:rsid w:val="2FB9584A"/>
    <w:rsid w:val="308E2939"/>
    <w:rsid w:val="32350F11"/>
    <w:rsid w:val="38D64F66"/>
    <w:rsid w:val="3A1B2933"/>
    <w:rsid w:val="42D33D89"/>
    <w:rsid w:val="4AA87DE3"/>
    <w:rsid w:val="4ADB3615"/>
    <w:rsid w:val="4FFE34F7"/>
    <w:rsid w:val="5003704B"/>
    <w:rsid w:val="53E3773E"/>
    <w:rsid w:val="54591F70"/>
    <w:rsid w:val="56753D2C"/>
    <w:rsid w:val="5F8404EC"/>
    <w:rsid w:val="5FDD7D5D"/>
    <w:rsid w:val="62442FEF"/>
    <w:rsid w:val="682B020C"/>
    <w:rsid w:val="69277206"/>
    <w:rsid w:val="6F0F5C4E"/>
    <w:rsid w:val="6F9E4D7E"/>
    <w:rsid w:val="7083035A"/>
    <w:rsid w:val="72A56E1F"/>
    <w:rsid w:val="77E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manualLayout>
          <c:xMode val="edge"/>
          <c:yMode val="edge"/>
          <c:x val="0.360283798534227"/>
          <c:y val="0.0090443171540548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delete val="1"/>
          </c:dLbls>
          <c:cat>
            <c:strRef>
              <c:f>Sheet1!$A$2:$A$3</c:f>
              <c:strCache>
                <c:ptCount val="2"/>
                <c:pt idx="0">
                  <c:v>行政编制</c:v>
                </c:pt>
                <c:pt idx="1">
                  <c:v>事业编制</c:v>
                </c:pt>
              </c:strCache>
            </c:strRef>
          </c:cat>
          <c:val>
            <c:numRef>
              <c:f>Sheet1!$B$2:$B$3</c:f>
              <c:numCache>
                <c:formatCode>General</c:formatCode>
                <c:ptCount val="2"/>
                <c:pt idx="0">
                  <c:v>4</c:v>
                </c:pt>
                <c:pt idx="1">
                  <c:v>12</c:v>
                </c:pt>
              </c:numCache>
            </c:numRef>
          </c:val>
        </c:ser>
        <c:ser>
          <c:idx val="1"/>
          <c:order val="1"/>
          <c:tx>
            <c:strRef>
              <c:f>Sheet1!$C$1</c:f>
              <c:strCache>
                <c:ptCount val="1"/>
                <c:pt idx="0">
                  <c:v>实有人数</c:v>
                </c:pt>
              </c:strCache>
            </c:strRef>
          </c:tx>
          <c:spPr>
            <a:solidFill>
              <a:schemeClr val="accent2"/>
            </a:solidFill>
            <a:ln>
              <a:noFill/>
            </a:ln>
            <a:effectLst/>
          </c:spPr>
          <c:invertIfNegative val="0"/>
          <c:dLbls>
            <c:delete val="1"/>
          </c:dLbls>
          <c:cat>
            <c:strRef>
              <c:f>Sheet1!$A$2:$A$3</c:f>
              <c:strCache>
                <c:ptCount val="2"/>
                <c:pt idx="0">
                  <c:v>行政编制</c:v>
                </c:pt>
                <c:pt idx="1">
                  <c:v>事业编制</c:v>
                </c:pt>
              </c:strCache>
            </c:strRef>
          </c:cat>
          <c:val>
            <c:numRef>
              <c:f>Sheet1!$C$2:$C$3</c:f>
              <c:numCache>
                <c:formatCode>General</c:formatCode>
                <c:ptCount val="2"/>
                <c:pt idx="0">
                  <c:v>3</c:v>
                </c:pt>
                <c:pt idx="1">
                  <c:v>14</c:v>
                </c:pt>
              </c:numCache>
            </c:numRef>
          </c:val>
        </c:ser>
        <c:dLbls>
          <c:showLegendKey val="0"/>
          <c:showVal val="0"/>
          <c:showCatName val="0"/>
          <c:showSerName val="0"/>
          <c:showPercent val="0"/>
          <c:showBubbleSize val="0"/>
        </c:dLbls>
        <c:gapWidth val="219"/>
        <c:overlap val="-27"/>
        <c:axId val="28682504"/>
        <c:axId val="803940054"/>
      </c:barChart>
      <c:catAx>
        <c:axId val="28682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940054"/>
        <c:crosses val="autoZero"/>
        <c:auto val="1"/>
        <c:lblAlgn val="ctr"/>
        <c:lblOffset val="100"/>
        <c:noMultiLvlLbl val="0"/>
      </c:catAx>
      <c:valAx>
        <c:axId val="8039400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682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收入支出决算总体情况</a:t>
            </a:r>
            <a:endParaRPr altLang="en-US"/>
          </a:p>
        </c:rich>
      </c:tx>
      <c:layout>
        <c:manualLayout>
          <c:xMode val="edge"/>
          <c:yMode val="edge"/>
          <c:x val="0.316125"/>
          <c:y val="0.022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454.01</c:v>
                </c:pt>
                <c:pt idx="1">
                  <c:v>353.34</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1285.99</c:v>
                </c:pt>
                <c:pt idx="1">
                  <c:v>1302.95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85823579"/>
        <c:axId val="861536061"/>
      </c:barChart>
      <c:catAx>
        <c:axId val="8858235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1536061"/>
        <c:crosses val="autoZero"/>
        <c:auto val="1"/>
        <c:lblAlgn val="ctr"/>
        <c:lblOffset val="100"/>
        <c:noMultiLvlLbl val="0"/>
      </c:catAx>
      <c:valAx>
        <c:axId val="8615360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823579"/>
        <c:crosses val="autoZero"/>
        <c:crossBetween val="between"/>
      </c:valAx>
      <c:spPr>
        <a:noFill/>
        <a:ln>
          <a:noFill/>
        </a:ln>
        <a:effectLst/>
      </c:spPr>
    </c:plotArea>
    <c:legend>
      <c:legendPos val="b"/>
      <c:legendEntry>
        <c:idx val="2"/>
        <c:delete val="1"/>
      </c:legendEntry>
      <c:layout>
        <c:manualLayout>
          <c:xMode val="edge"/>
          <c:yMode val="edge"/>
          <c:x val="0.388"/>
          <c:y val="0.924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收入决算情况</c:v>
                </c:pt>
              </c:strCache>
            </c:strRef>
          </c:tx>
          <c:spPr/>
          <c:explosion val="0"/>
          <c:dPt>
            <c:idx val="0"/>
            <c:bubble3D val="0"/>
            <c:explosion val="2"/>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财政拨款收入</c:v>
                </c:pt>
                <c:pt idx="1">
                  <c:v>其他收入</c:v>
                </c:pt>
              </c:strCache>
            </c:strRef>
          </c:cat>
          <c:val>
            <c:numRef>
              <c:f>Sheet1!$B$2:$B$3</c:f>
              <c:numCache>
                <c:formatCode>General</c:formatCode>
                <c:ptCount val="2"/>
                <c:pt idx="0">
                  <c:v>809.77</c:v>
                </c:pt>
                <c:pt idx="1">
                  <c:v>476.22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247.13</c:v>
                </c:pt>
                <c:pt idx="1">
                  <c:v>1055.82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p>
        </c:rich>
      </c:tx>
      <c:layout/>
      <c:overlay val="0"/>
      <c:spPr>
        <a:noFill/>
        <a:ln>
          <a:noFill/>
        </a:ln>
        <a:effectLst/>
      </c:spPr>
    </c:title>
    <c:autoTitleDeleted val="0"/>
    <c:plotArea>
      <c:layout>
        <c:manualLayout>
          <c:layoutTarget val="inner"/>
          <c:xMode val="edge"/>
          <c:yMode val="edge"/>
          <c:x val="0.0692"/>
          <c:y val="0.127"/>
          <c:w val="0.905175"/>
          <c:h val="0.7169"/>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309.65</c:v>
                </c:pt>
                <c:pt idx="1">
                  <c:v>309.65</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809.77</c:v>
                </c:pt>
                <c:pt idx="1">
                  <c:v>809.77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17658900"/>
        <c:axId val="620929835"/>
      </c:barChart>
      <c:catAx>
        <c:axId val="5176589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929835"/>
        <c:crosses val="autoZero"/>
        <c:auto val="1"/>
        <c:lblAlgn val="ctr"/>
        <c:lblOffset val="100"/>
        <c:noMultiLvlLbl val="0"/>
      </c:catAx>
      <c:valAx>
        <c:axId val="6209298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658900"/>
        <c:crosses val="autoZero"/>
        <c:crossBetween val="between"/>
      </c:valAx>
      <c:spPr>
        <a:noFill/>
        <a:ln>
          <a:noFill/>
        </a:ln>
        <a:effectLst/>
      </c:spPr>
    </c:plotArea>
    <c:legend>
      <c:legendPos val="b"/>
      <c:legendEntry>
        <c:idx val="2"/>
        <c:delete val="1"/>
      </c:legendEntry>
      <c:layout>
        <c:manualLayout>
          <c:xMode val="edge"/>
          <c:yMode val="edge"/>
          <c:x val="0.32775"/>
          <c:y val="0.921666666666667"/>
          <c:w val="0.33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财政拨款支出决算总体情况</a:t>
            </a:r>
          </a:p>
        </c:rich>
      </c:tx>
      <c:layout/>
      <c:overlay val="0"/>
      <c:spPr>
        <a:noFill/>
        <a:ln>
          <a:noFill/>
        </a:ln>
        <a:effectLst/>
      </c:spPr>
    </c:title>
    <c:autoTitleDeleted val="0"/>
    <c:plotArea>
      <c:layout>
        <c:manualLayout>
          <c:layoutTarget val="inner"/>
          <c:xMode val="edge"/>
          <c:yMode val="edge"/>
          <c:x val="0.0692"/>
          <c:y val="0.127"/>
          <c:w val="0.905175"/>
          <c:h val="0.7169"/>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c:f>
              <c:strCache>
                <c:ptCount val="1"/>
                <c:pt idx="0">
                  <c:v>财政拨款支出</c:v>
                </c:pt>
              </c:strCache>
            </c:strRef>
          </c:cat>
          <c:val>
            <c:numRef>
              <c:f>Sheet1!$B$2</c:f>
              <c:numCache>
                <c:formatCode>General</c:formatCode>
                <c:ptCount val="1"/>
                <c:pt idx="0">
                  <c:v>309.95</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c:f>
              <c:strCache>
                <c:ptCount val="1"/>
                <c:pt idx="0">
                  <c:v>财政拨款支出</c:v>
                </c:pt>
              </c:strCache>
            </c:strRef>
          </c:cat>
          <c:val>
            <c:numRef>
              <c:f>Sheet1!$C$2</c:f>
              <c:numCache>
                <c:formatCode>General</c:formatCode>
                <c:ptCount val="1"/>
                <c:pt idx="0">
                  <c:v>809.77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17658900"/>
        <c:axId val="620929835"/>
      </c:barChart>
      <c:catAx>
        <c:axId val="5176589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929835"/>
        <c:crosses val="autoZero"/>
        <c:auto val="1"/>
        <c:lblAlgn val="ctr"/>
        <c:lblOffset val="100"/>
        <c:noMultiLvlLbl val="0"/>
      </c:catAx>
      <c:valAx>
        <c:axId val="6209298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658900"/>
        <c:crosses val="autoZero"/>
        <c:crossBetween val="between"/>
      </c:valAx>
      <c:spPr>
        <a:noFill/>
        <a:ln>
          <a:noFill/>
        </a:ln>
        <a:effectLst/>
      </c:spPr>
    </c:plotArea>
    <c:legend>
      <c:legendPos val="b"/>
      <c:legendEntry>
        <c:idx val="2"/>
        <c:delete val="1"/>
      </c:legendEntry>
      <c:layout>
        <c:manualLayout>
          <c:xMode val="edge"/>
          <c:yMode val="edge"/>
          <c:x val="0.3015"/>
          <c:y val="0.899166666666667"/>
          <c:w val="0.3091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因公出国（境）支出</c:v>
                </c:pt>
                <c:pt idx="1">
                  <c:v>公务用车购置费用支出</c:v>
                </c:pt>
                <c:pt idx="2">
                  <c:v>公务用车运行维护费用支出</c:v>
                </c:pt>
                <c:pt idx="3">
                  <c:v>公务接待费支出</c:v>
                </c:pt>
              </c:strCache>
            </c:strRef>
          </c:cat>
          <c:val>
            <c:numRef>
              <c:f>Sheet1!$B$2:$B$5</c:f>
              <c:numCache>
                <c:formatCode>General</c:formatCode>
                <c:ptCount val="4"/>
                <c:pt idx="0">
                  <c:v>0</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2021-10-11T01:44:00Z</dcterms:created>
  <dc:creator>南乔木 不可休</dc:creator>
  <cp:lastModifiedBy>南乔木 不可休</cp:lastModifiedBy>
  <cp:lastPrinted>2021-10-11T08:39:00Z</cp:lastPrinted>
  <dcterms:modified xsi:type="dcterms:W3CDTF">2021-10-15T03:40:41Z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0DEB12752D6A482CA715DBBD44C2DEAB</vt:lpwstr>
  </property>
</Properties>
</file>