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宋体" w:hAnsi="宋体" w:cs="宋体"/>
          <w:b/>
          <w:bCs/>
          <w:sz w:val="48"/>
          <w:szCs w:val="48"/>
        </w:rPr>
      </w:pPr>
      <w:r>
        <w:rPr>
          <w:rFonts w:hint="eastAsia" w:ascii="宋体" w:hAnsi="宋体" w:cs="宋体"/>
          <w:b/>
          <w:bCs/>
          <w:sz w:val="48"/>
          <w:szCs w:val="48"/>
        </w:rPr>
        <w:t>杨陵区农业园区管理办公室</w:t>
      </w:r>
    </w:p>
    <w:p>
      <w:pPr>
        <w:spacing w:line="560" w:lineRule="exact"/>
        <w:jc w:val="center"/>
        <w:rPr>
          <w:rFonts w:ascii="宋体" w:hAnsi="宋体" w:cs="宋体"/>
          <w:b/>
          <w:bCs/>
          <w:sz w:val="48"/>
          <w:szCs w:val="48"/>
        </w:rPr>
      </w:pPr>
      <w:r>
        <w:rPr>
          <w:rFonts w:hint="eastAsia" w:ascii="宋体" w:hAnsi="宋体" w:cs="宋体"/>
          <w:b/>
          <w:bCs/>
          <w:sz w:val="48"/>
          <w:szCs w:val="48"/>
        </w:rPr>
        <w:t>2020年部门决算</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400" w:lineRule="exact"/>
        <w:ind w:firstLine="2570" w:firstLineChars="800"/>
        <w:rPr>
          <w:rFonts w:ascii="宋体" w:hAnsi="宋体" w:cs="宋体"/>
          <w:b/>
          <w:bCs/>
          <w:sz w:val="32"/>
          <w:szCs w:val="32"/>
        </w:rPr>
      </w:pPr>
    </w:p>
    <w:p>
      <w:pPr>
        <w:spacing w:line="400" w:lineRule="exact"/>
        <w:ind w:firstLine="2570" w:firstLineChars="800"/>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部门主要负责人审签情况：已审查</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 xml:space="preserve">第一部分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2020年部门决算表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center"/>
      </w:pPr>
      <w:r>
        <w:rPr>
          <w:rFonts w:hint="eastAsia" w:ascii="黑体" w:hAnsi="宋体" w:eastAsia="黑体"/>
          <w:color w:val="000000"/>
          <w:kern w:val="0"/>
          <w:sz w:val="32"/>
          <w:szCs w:val="32"/>
        </w:rPr>
        <w:t xml:space="preserve">第三部分 </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2020年部门决算情况说明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（一）财政拨款支出决算总体情况说明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（一）“三公”经费财政拨款支出决算总体情况说明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（二）“三公”经费财政拨款支出决算具体情况说明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（三）培训费支出情况说明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十、机关运行经费支出情况说明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十一、政府采购支出情况说明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十二、国有资产占用及购置情况说明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十三、预算绩效情况说明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 xml:space="preserve">（一）预算绩效管理工作开展情况说明     </w:t>
      </w:r>
    </w:p>
    <w:p>
      <w:pPr>
        <w:widowControl/>
        <w:jc w:val="left"/>
        <w:rPr>
          <w:rFonts w:ascii="仿宋" w:hAnsi="仿宋" w:eastAsia="仿宋" w:cs="楷体"/>
          <w:kern w:val="0"/>
          <w:sz w:val="32"/>
          <w:szCs w:val="32"/>
        </w:rPr>
      </w:pPr>
      <w:r>
        <w:rPr>
          <w:rFonts w:hint="eastAsia" w:ascii="仿宋" w:hAnsi="仿宋" w:eastAsia="仿宋" w:cs="楷体"/>
          <w:kern w:val="0"/>
          <w:sz w:val="32"/>
          <w:szCs w:val="32"/>
        </w:rPr>
        <w:t>（二）部门决算中项目绩效自评结果</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640" w:firstLineChars="200"/>
        <w:jc w:val="left"/>
        <w:rPr>
          <w:rFonts w:ascii="仿宋_GB2312" w:hAnsi="仿宋_GB2312" w:eastAsia="仿宋_GB2312" w:cs="仿宋_GB2312"/>
          <w:sz w:val="32"/>
          <w:szCs w:val="32"/>
        </w:rPr>
      </w:pPr>
      <w:r>
        <w:rPr>
          <w:rFonts w:hint="eastAsia" w:ascii="仿宋_GB2312" w:hAnsi="仿宋" w:eastAsia="仿宋_GB2312"/>
          <w:color w:val="000000"/>
          <w:sz w:val="32"/>
          <w:szCs w:val="32"/>
        </w:rPr>
        <w:t>负责农业园区规划管理工作，制止乱搭乱建和违反规划的行为；负责园区基础设施、产业发展、市场销售、产值效益等基本情况的统计工作；负责园区水、电、道路等基础设施的管理和维护工作；负责做好园区环境卫生治理、道路保洁、绿化带管护工作，做好园区植树绿化等工作；负责园区涉农用地情况的摸底统计工作，做好涉农用地储备、土地平整、基础设施配套以及挂牌流转等工作；开展园区储备土地生产经营工作；做好地租收缴与发放以及园区土地流转管理与服务等工作；负责入园企业、项目综合评审和涉农企业、项目的招商引资工作；负责入园企业管理与服务工作，协调处理入园企业建设、生产中遇到的矛盾问题，督促企业做好安全生产管理工作；负责小韦河、漆水河流域综合治理维护，做好基础设施配套、环境卫生治理、植树绿化、设施及树木花草巡查管护等工作；负责园区生态旅游产业发展工作，配合有关部门做好生态旅游示范点建设，基础设施规划与配套，生态旅游管理与服务等工作；负责园区提质增效工作，协助有关部门做好农业科技和新品种、新技术、新模式引进示范与推广以及品牌打造、农产品销售等工作；完成区委、区政府交办的其它工作。</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ind w:firstLine="640"/>
        <w:rPr>
          <w:rFonts w:ascii="楷体" w:hAnsi="楷体" w:eastAsia="楷体" w:cs="楷体"/>
          <w:b/>
          <w:bCs/>
          <w:color w:val="000000"/>
          <w:kern w:val="0"/>
          <w:sz w:val="32"/>
          <w:szCs w:val="32"/>
        </w:rPr>
      </w:pPr>
      <w:r>
        <w:rPr>
          <w:rFonts w:hint="eastAsia" w:ascii="仿宋_GB2312" w:hAnsi="仿宋_GB2312" w:eastAsia="仿宋_GB2312" w:cs="仿宋_GB2312"/>
          <w:sz w:val="32"/>
          <w:szCs w:val="32"/>
        </w:rPr>
        <w:t>农业园区办机构设置包括办公室、产业发展股。</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纳入2020年本部门决算编制范围的单位共1个，本单位无下属单位。</w:t>
      </w:r>
    </w:p>
    <w:tbl>
      <w:tblPr>
        <w:tblStyle w:val="5"/>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杨陵区农业园区管理办公室（本级）</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截止2020年底，本部门人员编制11人，其中行政编制0人、事业编制11人；实有人员7人，其中行政0人、事业7人，工勤0人。单位管理的离退休人员0人。</w:t>
      </w:r>
    </w:p>
    <w:p>
      <w:pPr>
        <w:widowControl/>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514975" cy="2609850"/>
            <wp:effectExtent l="0" t="0" r="0" b="0"/>
            <wp:docPr id="1" name="对象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jc w:val="center"/>
        <w:rPr>
          <w:rFonts w:ascii="黑体" w:hAnsi="宋体" w:eastAsia="黑体"/>
          <w:color w:val="000000"/>
          <w:kern w:val="0"/>
          <w:sz w:val="44"/>
          <w:szCs w:val="44"/>
        </w:rPr>
      </w:pPr>
      <w:r>
        <w:rPr>
          <w:rFonts w:ascii="仿宋_GB2312" w:hAnsi="仿宋_GB2312" w:eastAsia="仿宋_GB2312" w:cs="仿宋_GB2312"/>
          <w:sz w:val="32"/>
          <w:szCs w:val="32"/>
        </w:rPr>
        <w:drawing>
          <wp:inline distT="0" distB="0" distL="0" distR="0">
            <wp:extent cx="5615940" cy="2964180"/>
            <wp:effectExtent l="0" t="0" r="0" b="0"/>
            <wp:docPr id="66" name="对象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jc w:val="center"/>
        <w:rPr>
          <w:sz w:val="44"/>
          <w:szCs w:val="44"/>
        </w:rPr>
      </w:pPr>
      <w:r>
        <w:rPr>
          <w:rFonts w:ascii="黑体" w:hAnsi="宋体" w:eastAsia="黑体"/>
          <w:color w:val="000000"/>
          <w:kern w:val="0"/>
          <w:sz w:val="44"/>
          <w:szCs w:val="44"/>
        </w:rPr>
        <w:t>第二部分 20</w:t>
      </w:r>
      <w:r>
        <w:rPr>
          <w:rFonts w:hint="eastAsia" w:ascii="黑体" w:hAnsi="宋体" w:eastAsia="黑体"/>
          <w:color w:val="000000"/>
          <w:kern w:val="0"/>
          <w:sz w:val="44"/>
          <w:szCs w:val="44"/>
        </w:rPr>
        <w:t>20</w:t>
      </w:r>
      <w:r>
        <w:rPr>
          <w:rFonts w:ascii="黑体" w:hAnsi="宋体" w:eastAsia="黑体"/>
          <w:color w:val="000000"/>
          <w:kern w:val="0"/>
          <w:sz w:val="44"/>
          <w:szCs w:val="44"/>
        </w:rPr>
        <w:t>年度部门决算表</w:t>
      </w:r>
    </w:p>
    <w:tbl>
      <w:tblPr>
        <w:tblStyle w:val="5"/>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6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9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69"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9"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0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96"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2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03"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13"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表9</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国有资本经营预算财政拨款支出决算表</w:t>
            </w:r>
          </w:p>
          <w:p>
            <w:pPr>
              <w:widowControl/>
              <w:jc w:val="left"/>
              <w:rPr>
                <w:rFonts w:ascii="宋体" w:hAnsi="宋体" w:cs="宋体"/>
                <w:color w:val="000000"/>
                <w:kern w:val="0"/>
                <w:sz w:val="24"/>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本部门无国有资本经营决算收支</w:t>
            </w:r>
          </w:p>
        </w:tc>
      </w:tr>
    </w:tbl>
    <w:p>
      <w:pPr>
        <w:widowControl/>
        <w:rPr>
          <w:rFonts w:ascii="黑体" w:hAnsi="宋体" w:eastAsia="黑体"/>
          <w:color w:val="000000"/>
          <w:kern w:val="0"/>
          <w:sz w:val="44"/>
          <w:szCs w:val="44"/>
        </w:rPr>
      </w:pPr>
    </w:p>
    <w:p>
      <w:pPr>
        <w:widowControl/>
        <w:jc w:val="center"/>
        <w:textAlignment w:val="center"/>
        <w:rPr>
          <w:rFonts w:ascii="宋体" w:hAnsi="宋体" w:cs="宋体"/>
          <w:b/>
          <w:bCs/>
          <w:sz w:val="32"/>
          <w:szCs w:val="32"/>
        </w:rPr>
      </w:pPr>
      <w:r>
        <w:rPr>
          <w:rFonts w:hint="eastAsia" w:ascii="宋体" w:hAnsi="宋体" w:cs="宋体"/>
          <w:b/>
          <w:color w:val="000000"/>
          <w:kern w:val="0"/>
          <w:sz w:val="40"/>
          <w:szCs w:val="40"/>
        </w:rPr>
        <w:br w:type="page"/>
      </w: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编制部门：杨陵区农业园区管理办公室                                  金额单位：万元</w:t>
      </w:r>
    </w:p>
    <w:tbl>
      <w:tblPr>
        <w:tblStyle w:val="5"/>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2491.00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6192.23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8094.56</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24、债务还本支出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25、债务付息支出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26、抗疫特别国债安排支出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 xml:space="preserve">10044.23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10031.25</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使用非财政拨款结余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25.33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38.30</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10069.56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10069.56</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编制部门：杨陵区农业园区管理办公室                                   金额单位：万元</w:t>
      </w:r>
    </w:p>
    <w:tbl>
      <w:tblPr>
        <w:tblStyle w:val="5"/>
        <w:tblW w:w="10222" w:type="dxa"/>
        <w:tblInd w:w="-552" w:type="dxa"/>
        <w:tblLayout w:type="fixed"/>
        <w:tblCellMar>
          <w:top w:w="15" w:type="dxa"/>
          <w:left w:w="15" w:type="dxa"/>
          <w:bottom w:w="15" w:type="dxa"/>
          <w:right w:w="15" w:type="dxa"/>
        </w:tblCellMar>
      </w:tblPr>
      <w:tblGrid>
        <w:gridCol w:w="851"/>
        <w:gridCol w:w="3402"/>
        <w:gridCol w:w="992"/>
        <w:gridCol w:w="992"/>
        <w:gridCol w:w="567"/>
        <w:gridCol w:w="567"/>
        <w:gridCol w:w="709"/>
        <w:gridCol w:w="567"/>
        <w:gridCol w:w="581"/>
        <w:gridCol w:w="994"/>
      </w:tblGrid>
      <w:tr>
        <w:tblPrEx>
          <w:tblCellMar>
            <w:top w:w="15" w:type="dxa"/>
            <w:left w:w="15" w:type="dxa"/>
            <w:bottom w:w="15" w:type="dxa"/>
            <w:right w:w="15" w:type="dxa"/>
          </w:tblCellMar>
        </w:tblPrEx>
        <w:trPr>
          <w:trHeight w:val="277" w:hRule="atLeast"/>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5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794" w:hRule="atLeast"/>
        </w:trPr>
        <w:tc>
          <w:tcPr>
            <w:tcW w:w="851"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340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其中：教育收费</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10044.23</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3852.00</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6192.23</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208</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社会保障和就业支出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ascii="宋体" w:hAnsi="宋体" w:cs="宋体"/>
                <w:szCs w:val="21"/>
              </w:rPr>
              <w:t>20807</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就业补助</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ascii="宋体" w:hAnsi="宋体" w:cs="宋体"/>
                <w:szCs w:val="21"/>
              </w:rPr>
              <w:t>2080799</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 xml:space="preserve">  其他就业补助支出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211</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节能环保支出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21101</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环境保护管理事务</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2110199</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 xml:space="preserve">  其他环境保护管理事务支出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212</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城乡社区支出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21208</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国有土地使用权出让收入安排的支出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2120801</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 xml:space="preserve">  征地和拆迁补偿支出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213</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农林水支出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8107.54</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2430.31</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5677.23</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21301</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农业农村</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8047.54</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2430.31</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5617.23</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2130104</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 xml:space="preserve">  事业运行</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2130122</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 xml:space="preserve">  农业生产发展</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87.76</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87.76</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2130199</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 xml:space="preserve">  其他农业农村支出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7863.50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2246.27</w:t>
            </w: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5617.23</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21302</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林业和草原</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2130205</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 xml:space="preserve">  森林资源培育</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21303</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水利</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2130305</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Cs w:val="21"/>
              </w:rPr>
            </w:pPr>
            <w:r>
              <w:rPr>
                <w:rFonts w:hint="eastAsia" w:ascii="宋体" w:hAnsi="宋体" w:cs="宋体"/>
                <w:szCs w:val="21"/>
              </w:rPr>
              <w:t xml:space="preserve">  水利工程建设</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215</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资源勘探工业信息等支出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r>
      <w:tr>
        <w:tblPrEx>
          <w:tblCellMar>
            <w:top w:w="15" w:type="dxa"/>
            <w:left w:w="15" w:type="dxa"/>
            <w:bottom w:w="15" w:type="dxa"/>
            <w:right w:w="15" w:type="dxa"/>
          </w:tblCellMar>
        </w:tblPrEx>
        <w:trPr>
          <w:trHeight w:val="4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21599</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其他资源勘探工业信息等支出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r>
      <w:tr>
        <w:tblPrEx>
          <w:tblCellMar>
            <w:top w:w="15" w:type="dxa"/>
            <w:left w:w="15" w:type="dxa"/>
            <w:bottom w:w="15" w:type="dxa"/>
            <w:right w:w="15" w:type="dxa"/>
          </w:tblCellMar>
        </w:tblPrEx>
        <w:trPr>
          <w:trHeight w:val="438"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2159999</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其他资源勘探工业信息等支出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58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color w:val="FF0000"/>
          <w:sz w:val="24"/>
        </w:rPr>
        <w:t xml:space="preserve">                        </w:t>
      </w:r>
      <w:r>
        <w:rPr>
          <w:rFonts w:hint="eastAsia" w:ascii="宋体" w:hAnsi="宋体" w:cs="宋体"/>
          <w:b/>
          <w:bCs/>
          <w:color w:val="FF0000"/>
          <w:szCs w:val="21"/>
        </w:rPr>
        <w:t xml:space="preserve">                            </w:t>
      </w:r>
      <w:r>
        <w:rPr>
          <w:rFonts w:hint="eastAsia" w:ascii="宋体" w:hAnsi="宋体" w:cs="宋体"/>
          <w:b/>
          <w:bCs/>
          <w:szCs w:val="21"/>
        </w:rPr>
        <w:t xml:space="preserve">                   公开03表</w:t>
      </w:r>
    </w:p>
    <w:p>
      <w:pPr>
        <w:jc w:val="left"/>
        <w:rPr>
          <w:rFonts w:ascii="宋体" w:hAnsi="宋体" w:cs="宋体"/>
          <w:b/>
          <w:bCs/>
          <w:sz w:val="48"/>
          <w:szCs w:val="48"/>
        </w:rPr>
      </w:pPr>
      <w:r>
        <w:rPr>
          <w:rFonts w:hint="eastAsia" w:ascii="宋体" w:hAnsi="宋体" w:cs="宋体"/>
          <w:b/>
          <w:bCs/>
          <w:szCs w:val="21"/>
        </w:rPr>
        <w:t>编制部门：  杨陵区农业园区管理办公室                                 金额单位：万元</w:t>
      </w:r>
    </w:p>
    <w:tbl>
      <w:tblPr>
        <w:tblStyle w:val="5"/>
        <w:tblW w:w="9640" w:type="dxa"/>
        <w:tblInd w:w="-269" w:type="dxa"/>
        <w:tblLayout w:type="fixed"/>
        <w:tblCellMar>
          <w:top w:w="15" w:type="dxa"/>
          <w:left w:w="15" w:type="dxa"/>
          <w:bottom w:w="15" w:type="dxa"/>
          <w:right w:w="15" w:type="dxa"/>
        </w:tblCellMar>
      </w:tblPr>
      <w:tblGrid>
        <w:gridCol w:w="993"/>
        <w:gridCol w:w="273"/>
        <w:gridCol w:w="2704"/>
        <w:gridCol w:w="992"/>
        <w:gridCol w:w="1134"/>
        <w:gridCol w:w="992"/>
        <w:gridCol w:w="851"/>
        <w:gridCol w:w="850"/>
        <w:gridCol w:w="851"/>
      </w:tblGrid>
      <w:tr>
        <w:tblPrEx>
          <w:tblCellMar>
            <w:top w:w="15" w:type="dxa"/>
            <w:left w:w="15" w:type="dxa"/>
            <w:bottom w:w="15" w:type="dxa"/>
            <w:right w:w="15" w:type="dxa"/>
          </w:tblCellMar>
        </w:tblPrEx>
        <w:trPr>
          <w:trHeight w:val="372" w:hRule="atLeast"/>
        </w:trPr>
        <w:tc>
          <w:tcPr>
            <w:tcW w:w="39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对附属单位补助支出</w:t>
            </w:r>
          </w:p>
        </w:tc>
      </w:tr>
      <w:tr>
        <w:tblPrEx>
          <w:tblCellMar>
            <w:top w:w="15" w:type="dxa"/>
            <w:left w:w="15" w:type="dxa"/>
            <w:bottom w:w="15" w:type="dxa"/>
            <w:right w:w="15" w:type="dxa"/>
          </w:tblCellMar>
        </w:tblPrEx>
        <w:trPr>
          <w:trHeight w:val="702" w:hRule="atLeast"/>
        </w:trPr>
        <w:tc>
          <w:tcPr>
            <w:tcW w:w="12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39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10031.25</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9934.98</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社会保障和就业支出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就业补助</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2080799</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其他就业补助支出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节能环保支出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21101</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环境保护管理事务</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2110199</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其他环境保护管理事务支出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500.00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212</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21208</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国有土地使用权出让收入安排的支出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2120801</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征地和拆迁补偿支出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农林水支出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8094.56</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7998.28</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农业农村</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8034.56</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7938.28</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2130104</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事业运行</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2130122</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农业生产发展</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87.76</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87.76</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2130199</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其他农业农村支出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7850.52</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7850.52</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21302</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林业和草原</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Calibri" w:cs="宋体"/>
                <w:szCs w:val="21"/>
              </w:rPr>
              <w:t>30.00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2130205</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森林资源培育</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Calibri" w:cs="宋体"/>
                <w:szCs w:val="21"/>
              </w:rPr>
              <w:t>30.00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21303</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水利</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Calibri" w:cs="宋体"/>
                <w:szCs w:val="21"/>
              </w:rPr>
              <w:t>30.00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2130305</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水利工程建设</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30.00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tcPr>
          <w:p>
            <w:pPr>
              <w:jc w:val="right"/>
            </w:pPr>
            <w:r>
              <w:rPr>
                <w:rFonts w:hint="eastAsia" w:ascii="宋体" w:hAnsi="Calibri" w:cs="宋体"/>
                <w:szCs w:val="21"/>
              </w:rPr>
              <w:t>30.00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215</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资源勘探工业信息等支出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21599</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其他资源勘探工业信息等支出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2159999</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其他资源勘探工业信息等支出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15.00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83"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jc w:val="left"/>
        <w:rPr>
          <w:rFonts w:ascii="宋体" w:hAnsi="宋体" w:cs="宋体"/>
          <w:b/>
          <w:bCs/>
          <w:szCs w:val="21"/>
        </w:rPr>
      </w:pPr>
      <w:r>
        <w:rPr>
          <w:rFonts w:hint="eastAsia" w:ascii="宋体" w:hAnsi="宋体" w:cs="宋体"/>
          <w:b/>
          <w:bCs/>
          <w:szCs w:val="21"/>
        </w:rPr>
        <w:t>编制部门：杨陵区农业园区管理办公室                               金额单位：万元</w:t>
      </w:r>
    </w:p>
    <w:tbl>
      <w:tblPr>
        <w:tblStyle w:val="5"/>
        <w:tblW w:w="8946" w:type="dxa"/>
        <w:tblInd w:w="0" w:type="dxa"/>
        <w:tblLayout w:type="fixed"/>
        <w:tblCellMar>
          <w:top w:w="15" w:type="dxa"/>
          <w:left w:w="15" w:type="dxa"/>
          <w:bottom w:w="15" w:type="dxa"/>
          <w:right w:w="15" w:type="dxa"/>
        </w:tblCellMar>
      </w:tblPr>
      <w:tblGrid>
        <w:gridCol w:w="1705"/>
        <w:gridCol w:w="1072"/>
        <w:gridCol w:w="2703"/>
        <w:gridCol w:w="1134"/>
        <w:gridCol w:w="1102"/>
        <w:gridCol w:w="1230"/>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616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2491.00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2430.31</w:t>
            </w: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2430.31</w:t>
            </w: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2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24、债务还本支出</w:t>
            </w:r>
          </w:p>
        </w:tc>
        <w:tc>
          <w:tcPr>
            <w:tcW w:w="1134"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25、债务付息支出</w:t>
            </w:r>
          </w:p>
        </w:tc>
        <w:tc>
          <w:tcPr>
            <w:tcW w:w="1134"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26、抗疫特别国债安排支出</w:t>
            </w:r>
          </w:p>
        </w:tc>
        <w:tc>
          <w:tcPr>
            <w:tcW w:w="1134"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收入总计</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3852.00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b/>
                <w:bCs/>
                <w:color w:val="000000"/>
                <w:kern w:val="0"/>
                <w:szCs w:val="21"/>
              </w:rPr>
              <w:t>支出总计</w:t>
            </w:r>
          </w:p>
        </w:tc>
        <w:tc>
          <w:tcPr>
            <w:tcW w:w="1134"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3852.00</w:t>
            </w:r>
          </w:p>
        </w:tc>
        <w:tc>
          <w:tcPr>
            <w:tcW w:w="1102"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2491.00</w:t>
            </w:r>
          </w:p>
        </w:tc>
        <w:tc>
          <w:tcPr>
            <w:tcW w:w="123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kern w:val="0"/>
                <w:szCs w:val="21"/>
              </w:rPr>
            </w:pPr>
            <w:r>
              <w:rPr>
                <w:rFonts w:hint="eastAsia" w:ascii="宋体" w:hAnsi="宋体" w:cs="宋体"/>
                <w:b/>
                <w:color w:val="000000"/>
                <w:szCs w:val="21"/>
              </w:rPr>
              <w:t>年末财政拨款结转和结余</w:t>
            </w:r>
          </w:p>
        </w:tc>
        <w:tc>
          <w:tcPr>
            <w:tcW w:w="1134"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一、一般公共预算财政拨款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二、政府性基金预算财政拨款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三、国有资本经营预算财政拨款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szCs w:val="21"/>
              </w:rPr>
            </w:pPr>
          </w:p>
        </w:tc>
        <w:tc>
          <w:tcPr>
            <w:tcW w:w="1134"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02"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23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总计</w:t>
            </w:r>
          </w:p>
        </w:tc>
        <w:tc>
          <w:tcPr>
            <w:tcW w:w="107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3852.00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总计</w:t>
            </w:r>
          </w:p>
        </w:tc>
        <w:tc>
          <w:tcPr>
            <w:tcW w:w="1134"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3852.00</w:t>
            </w:r>
          </w:p>
        </w:tc>
        <w:tc>
          <w:tcPr>
            <w:tcW w:w="1102"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2491.00</w:t>
            </w:r>
          </w:p>
        </w:tc>
        <w:tc>
          <w:tcPr>
            <w:tcW w:w="1230"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r>
    </w:tbl>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jc w:val="left"/>
        <w:rPr>
          <w:rFonts w:ascii="宋体" w:hAnsi="宋体" w:cs="宋体"/>
          <w:b/>
          <w:bCs/>
          <w:szCs w:val="21"/>
        </w:rPr>
      </w:pPr>
      <w:r>
        <w:rPr>
          <w:rFonts w:hint="eastAsia" w:ascii="宋体" w:hAnsi="宋体" w:cs="宋体"/>
          <w:b/>
          <w:bCs/>
          <w:szCs w:val="21"/>
        </w:rPr>
        <w:t>编制部门：杨陵区农业园区管理办公室                                  金额单位：万元</w:t>
      </w:r>
    </w:p>
    <w:tbl>
      <w:tblPr>
        <w:tblStyle w:val="5"/>
        <w:tblW w:w="9356" w:type="dxa"/>
        <w:tblInd w:w="-127" w:type="dxa"/>
        <w:tblLayout w:type="fixed"/>
        <w:tblCellMar>
          <w:top w:w="15" w:type="dxa"/>
          <w:left w:w="15" w:type="dxa"/>
          <w:bottom w:w="15" w:type="dxa"/>
          <w:right w:w="15" w:type="dxa"/>
        </w:tblCellMar>
      </w:tblPr>
      <w:tblGrid>
        <w:gridCol w:w="1135"/>
        <w:gridCol w:w="2126"/>
        <w:gridCol w:w="992"/>
        <w:gridCol w:w="851"/>
        <w:gridCol w:w="1134"/>
        <w:gridCol w:w="992"/>
        <w:gridCol w:w="1134"/>
        <w:gridCol w:w="992"/>
      </w:tblGrid>
      <w:tr>
        <w:tblPrEx>
          <w:tblCellMar>
            <w:top w:w="15" w:type="dxa"/>
            <w:left w:w="15" w:type="dxa"/>
            <w:bottom w:w="15" w:type="dxa"/>
            <w:right w:w="15" w:type="dxa"/>
          </w:tblCellMar>
        </w:tblPrEx>
        <w:trPr>
          <w:trHeight w:val="414" w:hRule="atLeas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77"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32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2491.00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92.25</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4.03</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2394.73</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781"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208</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社会保障和就业支出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20807</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就业补助</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781"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2080799</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其他就业补助支出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60.70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213</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农林水支出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2430.31</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92.25</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4.03</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2334.03</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农业农村</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2430.31</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92.25</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4.03</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2334.03</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2130104</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事业运行</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92.25</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4.03</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2130122</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农业生产发展</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87.76</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87.76</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2130199</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其他农业农村支出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2246.27</w:t>
            </w: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2246.27</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14"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25"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jc w:val="left"/>
        <w:rPr>
          <w:rFonts w:ascii="宋体" w:hAnsi="宋体" w:cs="宋体"/>
          <w:b/>
          <w:bCs/>
          <w:szCs w:val="21"/>
        </w:rPr>
      </w:pPr>
      <w:r>
        <w:rPr>
          <w:rFonts w:hint="eastAsia" w:ascii="宋体" w:hAnsi="宋体" w:cs="宋体"/>
          <w:b/>
          <w:bCs/>
          <w:szCs w:val="21"/>
        </w:rPr>
        <w:t>编制部门：杨陵区农业园区管理办公室                                金额单位：万元</w:t>
      </w:r>
    </w:p>
    <w:tbl>
      <w:tblPr>
        <w:tblStyle w:val="5"/>
        <w:tblW w:w="8817" w:type="dxa"/>
        <w:tblInd w:w="0" w:type="dxa"/>
        <w:tblLayout w:type="fixed"/>
        <w:tblCellMar>
          <w:top w:w="15" w:type="dxa"/>
          <w:left w:w="15" w:type="dxa"/>
          <w:bottom w:w="15" w:type="dxa"/>
          <w:right w:w="15" w:type="dxa"/>
        </w:tblCellMar>
      </w:tblPr>
      <w:tblGrid>
        <w:gridCol w:w="1157"/>
        <w:gridCol w:w="3253"/>
        <w:gridCol w:w="1275"/>
        <w:gridCol w:w="1134"/>
        <w:gridCol w:w="1134"/>
        <w:gridCol w:w="864"/>
      </w:tblGrid>
      <w:tr>
        <w:tblPrEx>
          <w:tblCellMar>
            <w:top w:w="15" w:type="dxa"/>
            <w:left w:w="15" w:type="dxa"/>
            <w:bottom w:w="15" w:type="dxa"/>
            <w:right w:w="15" w:type="dxa"/>
          </w:tblCellMar>
        </w:tblPrEx>
        <w:trPr>
          <w:trHeight w:val="434" w:hRule="atLeast"/>
        </w:trPr>
        <w:tc>
          <w:tcPr>
            <w:tcW w:w="4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3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4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75" w:type="dxa"/>
            <w:tcBorders>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96.28</w:t>
            </w:r>
          </w:p>
        </w:tc>
        <w:tc>
          <w:tcPr>
            <w:tcW w:w="1134" w:type="dxa"/>
            <w:tcBorders>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92.25</w:t>
            </w:r>
          </w:p>
        </w:tc>
        <w:tc>
          <w:tcPr>
            <w:tcW w:w="1134" w:type="dxa"/>
            <w:tcBorders>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4.03</w:t>
            </w:r>
          </w:p>
        </w:tc>
        <w:tc>
          <w:tcPr>
            <w:tcW w:w="864" w:type="dxa"/>
            <w:tcBorders>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32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工资福利支出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92.25</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30101</w:t>
            </w:r>
          </w:p>
        </w:tc>
        <w:tc>
          <w:tcPr>
            <w:tcW w:w="32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基本工资</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24.72</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30102</w:t>
            </w:r>
          </w:p>
        </w:tc>
        <w:tc>
          <w:tcPr>
            <w:tcW w:w="32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津贴补贴</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3.50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30103</w:t>
            </w:r>
          </w:p>
        </w:tc>
        <w:tc>
          <w:tcPr>
            <w:tcW w:w="32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奖金</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17.00</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30107</w:t>
            </w:r>
          </w:p>
        </w:tc>
        <w:tc>
          <w:tcPr>
            <w:tcW w:w="32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绩效工资</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27.53</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30108</w:t>
            </w:r>
          </w:p>
        </w:tc>
        <w:tc>
          <w:tcPr>
            <w:tcW w:w="32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机关事业单位基本养老保险缴费</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7.24</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30110</w:t>
            </w:r>
          </w:p>
        </w:tc>
        <w:tc>
          <w:tcPr>
            <w:tcW w:w="32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职工基本医疗保险缴费</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3.19</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30112</w:t>
            </w:r>
          </w:p>
        </w:tc>
        <w:tc>
          <w:tcPr>
            <w:tcW w:w="32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其他社会保障缴费</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0.32</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30113</w:t>
            </w:r>
          </w:p>
        </w:tc>
        <w:tc>
          <w:tcPr>
            <w:tcW w:w="32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住房公积金</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8.75</w:t>
            </w: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302</w:t>
            </w:r>
          </w:p>
        </w:tc>
        <w:tc>
          <w:tcPr>
            <w:tcW w:w="32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商品和服务支出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4.03</w:t>
            </w: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30201</w:t>
            </w:r>
          </w:p>
        </w:tc>
        <w:tc>
          <w:tcPr>
            <w:tcW w:w="32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办公费</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0.38</w:t>
            </w: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30204</w:t>
            </w:r>
          </w:p>
        </w:tc>
        <w:tc>
          <w:tcPr>
            <w:tcW w:w="32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手续费</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30205</w:t>
            </w:r>
          </w:p>
        </w:tc>
        <w:tc>
          <w:tcPr>
            <w:tcW w:w="32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水费</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0.06</w:t>
            </w: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30207</w:t>
            </w:r>
          </w:p>
        </w:tc>
        <w:tc>
          <w:tcPr>
            <w:tcW w:w="32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邮电费</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1.19</w:t>
            </w: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30211</w:t>
            </w:r>
          </w:p>
        </w:tc>
        <w:tc>
          <w:tcPr>
            <w:tcW w:w="32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 xml:space="preserve">  差旅费</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0.45</w:t>
            </w: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30213</w:t>
            </w:r>
          </w:p>
        </w:tc>
        <w:tc>
          <w:tcPr>
            <w:tcW w:w="32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维修(护)费</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0.18</w:t>
            </w: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30226</w:t>
            </w:r>
          </w:p>
        </w:tc>
        <w:tc>
          <w:tcPr>
            <w:tcW w:w="32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劳务费</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0.12</w:t>
            </w: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30228</w:t>
            </w:r>
          </w:p>
        </w:tc>
        <w:tc>
          <w:tcPr>
            <w:tcW w:w="32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工会经费</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1.42</w:t>
            </w: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30299</w:t>
            </w:r>
          </w:p>
        </w:tc>
        <w:tc>
          <w:tcPr>
            <w:tcW w:w="32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其他商品和服务支出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0.22</w:t>
            </w:r>
          </w:p>
        </w:tc>
        <w:tc>
          <w:tcPr>
            <w:tcW w:w="86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jc w:val="left"/>
        <w:rPr>
          <w:rFonts w:ascii="宋体" w:hAnsi="宋体" w:cs="宋体"/>
          <w:b/>
          <w:bCs/>
          <w:szCs w:val="21"/>
        </w:rPr>
      </w:pPr>
      <w:r>
        <w:rPr>
          <w:rFonts w:hint="eastAsia" w:ascii="宋体" w:hAnsi="宋体" w:cs="宋体"/>
          <w:b/>
          <w:bCs/>
          <w:szCs w:val="21"/>
        </w:rPr>
        <w:t>编制部门：杨陵区农业园区管理办公室                                金额单位：万元</w:t>
      </w:r>
    </w:p>
    <w:tbl>
      <w:tblPr>
        <w:tblStyle w:val="5"/>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1.48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0.48</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0.48</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jc w:val="left"/>
        <w:rPr>
          <w:rFonts w:ascii="宋体" w:hAnsi="宋体" w:cs="宋体"/>
          <w:b/>
          <w:bCs/>
          <w:szCs w:val="21"/>
        </w:rPr>
      </w:pPr>
      <w:r>
        <w:rPr>
          <w:rFonts w:hint="eastAsia" w:ascii="宋体" w:hAnsi="宋体" w:cs="宋体"/>
          <w:b/>
          <w:bCs/>
          <w:szCs w:val="21"/>
        </w:rPr>
        <w:t>编制部门：杨陵区农业园区管理办公室                                 金额单位：万元</w:t>
      </w:r>
    </w:p>
    <w:tbl>
      <w:tblPr>
        <w:tblStyle w:val="5"/>
        <w:tblW w:w="8877" w:type="dxa"/>
        <w:tblInd w:w="0" w:type="dxa"/>
        <w:tblLayout w:type="fixed"/>
        <w:tblCellMar>
          <w:top w:w="15" w:type="dxa"/>
          <w:left w:w="15" w:type="dxa"/>
          <w:bottom w:w="15" w:type="dxa"/>
          <w:right w:w="15" w:type="dxa"/>
        </w:tblCellMar>
      </w:tblPr>
      <w:tblGrid>
        <w:gridCol w:w="1023"/>
        <w:gridCol w:w="1686"/>
        <w:gridCol w:w="992"/>
        <w:gridCol w:w="992"/>
        <w:gridCol w:w="992"/>
        <w:gridCol w:w="993"/>
        <w:gridCol w:w="1134"/>
        <w:gridCol w:w="1065"/>
      </w:tblGrid>
      <w:tr>
        <w:tblPrEx>
          <w:tblCellMar>
            <w:top w:w="15" w:type="dxa"/>
            <w:left w:w="15" w:type="dxa"/>
            <w:bottom w:w="15" w:type="dxa"/>
            <w:right w:w="15" w:type="dxa"/>
          </w:tblCellMar>
        </w:tblPrEx>
        <w:trPr>
          <w:trHeight w:val="491" w:hRule="atLeast"/>
        </w:trPr>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119"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92" w:type="dxa"/>
            <w:tcBorders>
              <w:top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212</w:t>
            </w:r>
          </w:p>
        </w:tc>
        <w:tc>
          <w:tcPr>
            <w:tcW w:w="168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城乡社区支出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21208</w:t>
            </w:r>
          </w:p>
        </w:tc>
        <w:tc>
          <w:tcPr>
            <w:tcW w:w="168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国有土地使用权出让收入安排的支出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r>
              <w:rPr>
                <w:rFonts w:hint="eastAsia" w:ascii="宋体" w:hAnsi="宋体" w:cs="宋体"/>
                <w:color w:val="000000"/>
                <w:szCs w:val="21"/>
              </w:rPr>
              <w:t>2120801</w:t>
            </w:r>
          </w:p>
        </w:tc>
        <w:tc>
          <w:tcPr>
            <w:tcW w:w="168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 xml:space="preserve">  征地和拆迁补偿支出</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r>
              <w:rPr>
                <w:rFonts w:hint="eastAsia" w:ascii="宋体" w:hAnsi="Calibri" w:cs="宋体"/>
                <w:szCs w:val="21"/>
              </w:rPr>
              <w:t>1361.00</w:t>
            </w: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c>
          <w:tcPr>
            <w:tcW w:w="1065" w:type="dxa"/>
            <w:tcBorders>
              <w:top w:val="single" w:color="000000" w:sz="4" w:space="0"/>
              <w:left w:val="single" w:color="000000" w:sz="4" w:space="0"/>
              <w:bottom w:val="single" w:color="000000" w:sz="4" w:space="0"/>
              <w:right w:val="single" w:color="000000" w:sz="4" w:space="0"/>
            </w:tcBorders>
            <w:vAlign w:val="center"/>
          </w:tcPr>
          <w:p>
            <w:pPr>
              <w:ind w:right="94" w:rightChars="45"/>
              <w:jc w:val="right"/>
              <w:rPr>
                <w:rFonts w:ascii="宋体" w:hAnsi="Calibri" w:cs="宋体"/>
                <w:szCs w:val="21"/>
              </w:rPr>
            </w:pPr>
          </w:p>
        </w:tc>
      </w:tr>
    </w:tbl>
    <w:p>
      <w:pPr>
        <w:widowControl/>
        <w:jc w:val="left"/>
        <w:rPr>
          <w:rFonts w:ascii="黑体" w:hAnsi="宋体" w:eastAsia="黑体"/>
          <w:color w:val="000000"/>
          <w:kern w:val="0"/>
          <w:sz w:val="44"/>
          <w:szCs w:val="44"/>
        </w:r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国有资本经营预算财政拨款支出决算表</w:t>
      </w:r>
    </w:p>
    <w:p>
      <w:pPr>
        <w:jc w:val="righ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公开09</w:t>
      </w:r>
      <w:r>
        <w:rPr>
          <w:rFonts w:hint="eastAsia" w:ascii="宋体" w:hAnsi="宋体" w:cs="宋体"/>
          <w:b/>
          <w:bCs/>
          <w:szCs w:val="21"/>
        </w:rPr>
        <w:tab/>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杨陵区农业园区管理办公室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bookmarkStart w:id="0" w:name="_GoBack"/>
      <w:bookmarkEnd w:id="0"/>
      <w:r>
        <w:rPr>
          <w:rFonts w:hint="eastAsia" w:ascii="宋体" w:hAnsi="宋体" w:cs="宋体"/>
          <w:b/>
          <w:bCs/>
          <w:szCs w:val="21"/>
        </w:rPr>
        <w:t>金额单位：万元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tcPr>
          <w:p>
            <w:pPr>
              <w:jc w:val="center"/>
              <w:rPr>
                <w:rFonts w:ascii="黑体" w:hAnsi="宋体" w:eastAsia="黑体"/>
                <w:color w:val="000000"/>
                <w:kern w:val="0"/>
                <w:sz w:val="44"/>
                <w:szCs w:val="44"/>
              </w:rPr>
            </w:pPr>
            <w:r>
              <w:rPr>
                <w:rFonts w:hint="eastAsia" w:ascii="宋体" w:hAnsi="宋体" w:cs="宋体"/>
                <w:b/>
                <w:color w:val="000000"/>
                <w:kern w:val="0"/>
                <w:szCs w:val="21"/>
              </w:rPr>
              <w:t>项    目</w:t>
            </w:r>
          </w:p>
        </w:tc>
        <w:tc>
          <w:tcPr>
            <w:tcW w:w="5436" w:type="dxa"/>
            <w:gridSpan w:val="3"/>
          </w:tcPr>
          <w:p>
            <w:pPr>
              <w:jc w:val="center"/>
              <w:rPr>
                <w:rFonts w:ascii="黑体" w:hAnsi="宋体" w:eastAsia="黑体"/>
                <w:color w:val="000000"/>
                <w:kern w:val="0"/>
                <w:sz w:val="44"/>
                <w:szCs w:val="44"/>
              </w:rPr>
            </w:pPr>
            <w:r>
              <w:rPr>
                <w:rFonts w:hint="eastAsia" w:ascii="宋体" w:hAnsi="宋体" w:cs="宋体"/>
                <w:b/>
                <w:color w:val="000000"/>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宋体" w:hAnsi="宋体" w:cs="宋体"/>
                <w:b/>
                <w:color w:val="000000"/>
                <w:kern w:val="0"/>
                <w:szCs w:val="21"/>
              </w:rPr>
            </w:pPr>
            <w:r>
              <w:rPr>
                <w:rFonts w:hint="eastAsia" w:ascii="宋体" w:hAnsi="宋体" w:cs="宋体"/>
                <w:b/>
                <w:color w:val="000000"/>
                <w:kern w:val="0"/>
                <w:szCs w:val="21"/>
              </w:rPr>
              <w:t>功能分类</w:t>
            </w:r>
          </w:p>
          <w:p>
            <w:pPr>
              <w:jc w:val="center"/>
              <w:rPr>
                <w:rFonts w:ascii="黑体" w:hAnsi="宋体" w:eastAsia="黑体"/>
                <w:color w:val="000000"/>
                <w:kern w:val="0"/>
                <w:sz w:val="44"/>
                <w:szCs w:val="44"/>
              </w:rPr>
            </w:pPr>
            <w:r>
              <w:rPr>
                <w:rFonts w:hint="eastAsia" w:ascii="宋体" w:hAnsi="宋体" w:cs="宋体"/>
                <w:b/>
                <w:color w:val="000000"/>
                <w:kern w:val="0"/>
                <w:szCs w:val="21"/>
              </w:rPr>
              <w:t>科目编码</w:t>
            </w:r>
          </w:p>
        </w:tc>
        <w:tc>
          <w:tcPr>
            <w:tcW w:w="1812" w:type="dxa"/>
          </w:tcPr>
          <w:p>
            <w:pPr>
              <w:jc w:val="center"/>
              <w:rPr>
                <w:rFonts w:ascii="黑体" w:hAnsi="宋体" w:eastAsia="黑体"/>
                <w:color w:val="000000"/>
                <w:kern w:val="0"/>
                <w:sz w:val="44"/>
                <w:szCs w:val="44"/>
              </w:rPr>
            </w:pPr>
            <w:r>
              <w:rPr>
                <w:rFonts w:hint="eastAsia" w:ascii="宋体" w:hAnsi="宋体" w:cs="宋体"/>
                <w:b/>
                <w:color w:val="000000"/>
                <w:kern w:val="0"/>
                <w:szCs w:val="21"/>
              </w:rPr>
              <w:t>科目名称</w:t>
            </w:r>
          </w:p>
        </w:tc>
        <w:tc>
          <w:tcPr>
            <w:tcW w:w="1812"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12"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812"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tcPr>
          <w:p>
            <w:pPr>
              <w:jc w:val="center"/>
              <w:rPr>
                <w:rFonts w:ascii="宋体" w:hAnsi="宋体" w:cs="宋体"/>
                <w:b/>
                <w:color w:val="000000"/>
                <w:kern w:val="0"/>
                <w:szCs w:val="21"/>
              </w:rPr>
            </w:pPr>
          </w:p>
          <w:p>
            <w:pPr>
              <w:jc w:val="center"/>
              <w:rPr>
                <w:rFonts w:ascii="黑体" w:hAnsi="宋体" w:eastAsia="黑体"/>
                <w:color w:val="000000"/>
                <w:kern w:val="0"/>
                <w:sz w:val="44"/>
                <w:szCs w:val="44"/>
              </w:rPr>
            </w:pPr>
            <w:r>
              <w:rPr>
                <w:rFonts w:hint="eastAsia" w:ascii="宋体" w:hAnsi="宋体" w:cs="宋体"/>
                <w:b/>
                <w:color w:val="000000"/>
                <w:kern w:val="0"/>
                <w:szCs w:val="21"/>
              </w:rPr>
              <w:t>合计</w:t>
            </w: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c>
          <w:tcPr>
            <w:tcW w:w="1812" w:type="dxa"/>
          </w:tcPr>
          <w:p>
            <w:pPr>
              <w:jc w:val="center"/>
              <w:rPr>
                <w:rFonts w:ascii="黑体" w:hAnsi="宋体" w:eastAsia="黑体"/>
                <w:color w:val="000000"/>
                <w:kern w:val="0"/>
                <w:sz w:val="44"/>
                <w:szCs w:val="44"/>
              </w:rPr>
            </w:pPr>
          </w:p>
        </w:tc>
      </w:tr>
    </w:tbl>
    <w:p>
      <w:pPr>
        <w:widowControl/>
        <w:jc w:val="left"/>
        <w:rPr>
          <w:rFonts w:ascii="黑体" w:hAnsi="宋体" w:eastAsia="黑体"/>
          <w:color w:val="000000"/>
          <w:kern w:val="0"/>
          <w:sz w:val="44"/>
          <w:szCs w:val="44"/>
        </w:rPr>
      </w:pPr>
      <w:r>
        <w:rPr>
          <w:rFonts w:hint="eastAsia" w:ascii="宋体" w:hAnsi="宋体" w:cs="宋体"/>
          <w:szCs w:val="21"/>
        </w:rPr>
        <w:t>注：本表反映部门本年度国有资本经营预算财政拨款支出情况。</w:t>
      </w:r>
      <w:r>
        <w:rPr>
          <w:rFonts w:hint="eastAsia" w:ascii="宋体" w:hAnsi="宋体" w:cs="宋体"/>
          <w:color w:val="000000"/>
          <w:kern w:val="0"/>
          <w:szCs w:val="21"/>
        </w:rPr>
        <w:t>本表金额转换为万元时，因四舍五入可能存在尾差。</w:t>
      </w:r>
    </w:p>
    <w:p>
      <w:pPr>
        <w:jc w:val="left"/>
        <w:rPr>
          <w:rFonts w:ascii="黑体" w:hAnsi="宋体" w:eastAsia="黑体"/>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w:t>
      </w:r>
      <w:r>
        <w:rPr>
          <w:rFonts w:hint="eastAsia" w:ascii="黑体" w:hAnsi="宋体" w:eastAsia="黑体"/>
          <w:kern w:val="0"/>
          <w:sz w:val="44"/>
          <w:szCs w:val="44"/>
        </w:rPr>
        <w:t>20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杨陵区农业园区办收入合计10044.23万元，较上年增加7609.61万元，增加312.55%，主要是增加园区基础设施提升改造、菲格无花果基地道路硬化、稷乡情农业科技公司道路硬化、牡丹花卉园补偿、漆水河防洪工程配套、良科种业智慧园用地、先正达项目土地流转、撂荒大棚专项整治等项目资金收入；</w:t>
      </w:r>
    </w:p>
    <w:p>
      <w:pPr>
        <w:widowControl/>
        <w:ind w:firstLine="640" w:firstLineChars="200"/>
        <w:jc w:val="left"/>
        <w:rPr>
          <w:rFonts w:ascii="仿宋_GB2312" w:hAnsi="仿宋" w:eastAsia="仿宋_GB2312"/>
          <w:sz w:val="32"/>
          <w:szCs w:val="32"/>
        </w:rPr>
      </w:pPr>
      <w:r>
        <w:rPr>
          <w:rFonts w:hint="eastAsia" w:ascii="仿宋_GB2312" w:hAnsi="仿宋_GB2312" w:eastAsia="仿宋_GB2312" w:cs="仿宋_GB2312"/>
          <w:color w:val="FF0000"/>
          <w:sz w:val="32"/>
          <w:szCs w:val="32"/>
        </w:rPr>
        <w:drawing>
          <wp:anchor distT="0" distB="2540" distL="114300" distR="114300" simplePos="0" relativeHeight="251656192" behindDoc="0" locked="0" layoutInCell="1" allowOverlap="1">
            <wp:simplePos x="0" y="0"/>
            <wp:positionH relativeFrom="column">
              <wp:posOffset>240665</wp:posOffset>
            </wp:positionH>
            <wp:positionV relativeFrom="paragraph">
              <wp:posOffset>2073275</wp:posOffset>
            </wp:positionV>
            <wp:extent cx="5304790" cy="3403600"/>
            <wp:effectExtent l="0" t="0" r="635" b="635"/>
            <wp:wrapTopAndBottom/>
            <wp:docPr id="8"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 w:eastAsia="仿宋_GB2312"/>
          <w:sz w:val="32"/>
          <w:szCs w:val="32"/>
        </w:rPr>
        <w:t>2020年杨陵区农业园区办支出合计10031.25万元，较上年增加7445.48万元，增加287.94%，主要是增加园区基础设施提升改造、菲格无花果基地道路硬化、稷乡情农业科技公司道路硬化、牡丹花卉园补偿、漆水河防洪工程配套、良科种业智慧园用地、先正达项目土地流转、撂荒大棚专项整治等项目资金支出；</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kern w:val="0"/>
          <w:sz w:val="32"/>
          <w:szCs w:val="32"/>
        </w:rPr>
      </w:pP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20年收入合计10044.23万元，其中：一般公共预算财政拨款收入2491.00万元，占24.80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；政府性基金预算财政拨款收入1361.00万元，占13.55%；其他收入6192.23万元，占61.65</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p>
    <w:p>
      <w:pPr>
        <w:widowControl/>
        <w:jc w:val="left"/>
        <w:rPr>
          <w:rFonts w:ascii="黑体" w:hAnsi="黑体" w:eastAsia="黑体"/>
        </w:rPr>
      </w:pPr>
      <w:r>
        <w:rPr>
          <w:rFonts w:ascii="黑体" w:hAnsi="黑体" w:eastAsia="黑体"/>
          <w:color w:val="000000"/>
          <w:kern w:val="0"/>
          <w:sz w:val="32"/>
          <w:szCs w:val="32"/>
        </w:rPr>
        <w:drawing>
          <wp:inline distT="0" distB="0" distL="0" distR="0">
            <wp:extent cx="5895975" cy="2771775"/>
            <wp:effectExtent l="0" t="0" r="0" b="0"/>
            <wp:docPr id="3" name="对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hint="eastAsia" w:ascii="黑体" w:hAnsi="黑体" w:eastAsia="黑体"/>
          <w:color w:val="000000"/>
          <w:kern w:val="0"/>
          <w:sz w:val="32"/>
          <w:szCs w:val="32"/>
        </w:rPr>
        <w:t xml:space="preserve">三、支出决算情况说明  </w:t>
      </w:r>
    </w:p>
    <w:p>
      <w:pPr>
        <w:widowControl/>
        <w:ind w:firstLine="420" w:firstLineChars="200"/>
        <w:jc w:val="left"/>
        <w:rPr>
          <w:rFonts w:ascii="仿宋_GB2312" w:hAnsi="宋体" w:eastAsia="仿宋_GB2312" w:cs="仿宋_GB2312"/>
          <w:color w:val="000000"/>
          <w:kern w:val="0"/>
          <w:sz w:val="32"/>
          <w:szCs w:val="32"/>
        </w:rPr>
      </w:pPr>
      <w:r>
        <w:drawing>
          <wp:anchor distT="0" distB="2540" distL="114300" distR="114300" simplePos="0" relativeHeight="251657216" behindDoc="0" locked="0" layoutInCell="1" allowOverlap="1">
            <wp:simplePos x="0" y="0"/>
            <wp:positionH relativeFrom="column">
              <wp:posOffset>512445</wp:posOffset>
            </wp:positionH>
            <wp:positionV relativeFrom="paragraph">
              <wp:posOffset>814705</wp:posOffset>
            </wp:positionV>
            <wp:extent cx="4831080" cy="2634615"/>
            <wp:effectExtent l="0" t="0" r="635" b="0"/>
            <wp:wrapTopAndBottom/>
            <wp:docPr id="7"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20年支出合计10031.25万元，其中：基本支出96.28万元，占0.96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；项目支出9934.98万元，占99.04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2020年财政拨款收入3852.00万元，比上年增加3668.40万元，增加1998.03</w:t>
      </w:r>
      <w:r>
        <w:rPr>
          <w:rFonts w:ascii="仿宋_GB2312" w:hAnsi="仿宋" w:eastAsia="仿宋_GB2312"/>
          <w:sz w:val="32"/>
          <w:szCs w:val="32"/>
        </w:rPr>
        <w:t>%</w:t>
      </w:r>
      <w:r>
        <w:rPr>
          <w:rFonts w:hint="eastAsia" w:ascii="仿宋_GB2312" w:hAnsi="仿宋" w:eastAsia="仿宋_GB2312"/>
          <w:sz w:val="32"/>
          <w:szCs w:val="32"/>
        </w:rPr>
        <w:t>，主要是增加园区基础设施提升改造、菲格无花果基地道路硬化、稷乡情农业科技公司道路硬化、漆水河防洪工程配套、良科种业智慧园项目用地、先正达项项目土地流转、撂荒大棚专项整治等项目资金收入；</w:t>
      </w:r>
    </w:p>
    <w:p>
      <w:pPr>
        <w:spacing w:line="360" w:lineRule="auto"/>
        <w:ind w:firstLine="864" w:firstLineChars="270"/>
        <w:rPr>
          <w:rFonts w:ascii="仿宋_GB2312" w:hAnsi="仿宋" w:eastAsia="仿宋_GB2312"/>
          <w:sz w:val="32"/>
          <w:szCs w:val="32"/>
        </w:rPr>
      </w:pPr>
      <w:r>
        <w:rPr>
          <w:rFonts w:ascii="黑体" w:hAnsi="黑体" w:eastAsia="黑体"/>
          <w:color w:val="000000"/>
          <w:kern w:val="0"/>
          <w:sz w:val="32"/>
          <w:szCs w:val="32"/>
        </w:rPr>
        <w:pict>
          <v:shape id="_x0000_s1031" o:spid="_x0000_s1031" o:spt="75" type="#_x0000_t75" style="position:absolute;left:0pt;margin-left:-5.45pt;margin-top:158.55pt;height:239.05pt;width:452.2pt;mso-wrap-distance-bottom:0.2pt;mso-wrap-distance-top:0pt;z-index:251661312;mso-width-relative:page;mso-height-relative:page;" o:ole="t" filled="f" o:preferrelative="t" stroked="f" coordsize="21600,21600">
            <v:path/>
            <v:fill on="f" focussize="0,0"/>
            <v:stroke on="f" joinstyle="miter"/>
            <v:imagedata r:id="rId17" o:title=""/>
            <o:lock v:ext="edit" aspectratio="t"/>
            <w10:wrap type="topAndBottom"/>
          </v:shape>
          <o:OLEObject Type="Embed" ProgID="Excel.Sheet.8" ShapeID="_x0000_s1031" DrawAspect="Content" ObjectID="_1468075725" r:id="rId16">
            <o:LockedField>false</o:LockedField>
          </o:OLEObject>
        </w:pict>
      </w:r>
      <w:r>
        <w:rPr>
          <w:rFonts w:hint="eastAsia" w:ascii="仿宋_GB2312" w:hAnsi="仿宋" w:eastAsia="仿宋_GB2312"/>
          <w:sz w:val="32"/>
          <w:szCs w:val="32"/>
        </w:rPr>
        <w:t>2020年财政拨款支出3852.00万元，比上年增加3668.40万元，增加1998.03</w:t>
      </w:r>
      <w:r>
        <w:rPr>
          <w:rFonts w:ascii="仿宋_GB2312" w:hAnsi="仿宋" w:eastAsia="仿宋_GB2312"/>
          <w:sz w:val="32"/>
          <w:szCs w:val="32"/>
        </w:rPr>
        <w:t>%</w:t>
      </w:r>
      <w:r>
        <w:rPr>
          <w:rFonts w:hint="eastAsia" w:ascii="仿宋_GB2312" w:hAnsi="仿宋" w:eastAsia="仿宋_GB2312"/>
          <w:sz w:val="32"/>
          <w:szCs w:val="32"/>
        </w:rPr>
        <w:t>，主要是增加园区基础设施提升改造、菲格无花果基地道路硬化、稷乡情农业科技公司道路硬化、漆水河防洪工程配套、良科种业智慧园项目用地、先正达项项目土地流转、撂荒大棚专项整治等项目资金支出；</w:t>
      </w:r>
    </w:p>
    <w:p>
      <w:pPr>
        <w:widowControl/>
        <w:ind w:firstLine="640" w:firstLineChars="200"/>
        <w:jc w:val="left"/>
        <w:rPr>
          <w:rFonts w:ascii="黑体" w:hAnsi="黑体" w:eastAsia="黑体"/>
          <w:kern w:val="0"/>
          <w:sz w:val="32"/>
          <w:szCs w:val="32"/>
        </w:rPr>
      </w:pPr>
      <w:r>
        <w:rPr>
          <w:rFonts w:hint="eastAsia" w:ascii="黑体" w:hAnsi="黑体" w:eastAsia="黑体"/>
          <w:color w:val="000000"/>
          <w:kern w:val="0"/>
          <w:sz w:val="32"/>
          <w:szCs w:val="32"/>
        </w:rPr>
        <w:t>五、</w:t>
      </w:r>
      <w:r>
        <w:rPr>
          <w:rFonts w:hint="eastAsia" w:ascii="黑体" w:hAnsi="黑体" w:eastAsia="黑体"/>
          <w:kern w:val="0"/>
          <w:sz w:val="32"/>
          <w:szCs w:val="32"/>
        </w:rPr>
        <w:t>一般公共预算财政拨款支出决算情况说明</w:t>
      </w:r>
    </w:p>
    <w:p>
      <w:pPr>
        <w:widowControl/>
        <w:ind w:firstLine="643" w:firstLineChars="200"/>
        <w:jc w:val="left"/>
        <w:rPr>
          <w:rFonts w:ascii="楷体_GB2312" w:hAnsi="宋体" w:eastAsia="楷体_GB2312" w:cs="楷体_GB2312"/>
          <w:b/>
          <w:kern w:val="0"/>
          <w:sz w:val="32"/>
          <w:szCs w:val="32"/>
        </w:rPr>
      </w:pPr>
      <w:r>
        <w:rPr>
          <w:rFonts w:ascii="楷体_GB2312" w:hAnsi="宋体" w:eastAsia="楷体_GB2312" w:cs="楷体_GB2312"/>
          <w:b/>
          <w:kern w:val="0"/>
          <w:sz w:val="32"/>
          <w:szCs w:val="32"/>
        </w:rPr>
        <w:t>（一）财政拨款支出决算总体情况</w:t>
      </w:r>
      <w:r>
        <w:rPr>
          <w:rFonts w:hint="eastAsia" w:ascii="楷体_GB2312" w:hAnsi="宋体" w:eastAsia="楷体_GB2312" w:cs="楷体_GB2312"/>
          <w:b/>
          <w:kern w:val="0"/>
          <w:sz w:val="32"/>
          <w:szCs w:val="32"/>
        </w:rPr>
        <w:t>说明</w:t>
      </w:r>
      <w:r>
        <w:rPr>
          <w:rFonts w:ascii="楷体_GB2312" w:hAnsi="宋体" w:eastAsia="楷体_GB2312" w:cs="楷体_GB2312"/>
          <w:b/>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年财政拨款支出</w:t>
      </w:r>
      <w:r>
        <w:rPr>
          <w:rFonts w:hint="eastAsia" w:ascii="仿宋_GB2312" w:hAnsi="宋体" w:eastAsia="仿宋_GB2312" w:cs="仿宋_GB2312"/>
          <w:color w:val="000000"/>
          <w:kern w:val="0"/>
          <w:sz w:val="32"/>
          <w:szCs w:val="32"/>
        </w:rPr>
        <w:t>2491.00</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24.80%。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rPr>
        <w:t>2307.40</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rPr>
        <w:t>1256.75</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sz w:val="32"/>
          <w:szCs w:val="32"/>
        </w:rPr>
        <w:t>增加园区基础设施提升改造、菲格无花果基地道路硬化、稷乡情农业科技公司道路硬化、漆水河防洪工程配套、撂荒大棚专项整治等项目资金支出；</w:t>
      </w:r>
    </w:p>
    <w:p>
      <w:pPr>
        <w:ind w:firstLine="640" w:firstLineChars="200"/>
      </w:pPr>
      <w:r>
        <w:rPr>
          <w:rFonts w:hint="eastAsia" w:ascii="仿宋_GB2312" w:hAnsi="仿宋_GB2312" w:eastAsia="仿宋_GB2312" w:cs="仿宋_GB2312"/>
          <w:color w:val="FF0000"/>
          <w:sz w:val="32"/>
          <w:szCs w:val="32"/>
        </w:rPr>
        <w:drawing>
          <wp:anchor distT="0" distB="2540" distL="114300" distR="114300" simplePos="0" relativeHeight="251659264" behindDoc="0" locked="0" layoutInCell="1" allowOverlap="1">
            <wp:simplePos x="0" y="0"/>
            <wp:positionH relativeFrom="column">
              <wp:posOffset>415925</wp:posOffset>
            </wp:positionH>
            <wp:positionV relativeFrom="paragraph">
              <wp:posOffset>245110</wp:posOffset>
            </wp:positionV>
            <wp:extent cx="5483225" cy="2974340"/>
            <wp:effectExtent l="635" t="0" r="0" b="0"/>
            <wp:wrapTopAndBottom/>
            <wp:docPr id="10"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 xml:space="preserve"> 年财政拨款支出年初预算为</w:t>
      </w:r>
      <w:r>
        <w:rPr>
          <w:rFonts w:hint="eastAsia" w:ascii="仿宋_GB2312" w:hAnsi="宋体" w:eastAsia="仿宋_GB2312" w:cs="仿宋_GB2312"/>
          <w:color w:val="000000"/>
          <w:kern w:val="0"/>
          <w:sz w:val="32"/>
          <w:szCs w:val="32"/>
        </w:rPr>
        <w:t>609.84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2491.00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408.46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kern w:val="0"/>
          <w:sz w:val="32"/>
          <w:szCs w:val="32"/>
        </w:rPr>
        <w:t>1.</w:t>
      </w:r>
      <w:r>
        <w:t xml:space="preserve"> </w:t>
      </w:r>
      <w:r>
        <w:rPr>
          <w:rFonts w:hint="eastAsia" w:ascii="仿宋_GB2312" w:hAnsi="宋体" w:eastAsia="仿宋_GB2312" w:cs="仿宋_GB2312"/>
          <w:b/>
          <w:kern w:val="0"/>
          <w:sz w:val="32"/>
          <w:szCs w:val="32"/>
        </w:rPr>
        <w:t>社会保障和就业支出（类）就业补助（款）其他就业补助支出（项）。</w:t>
      </w:r>
    </w:p>
    <w:p>
      <w:pPr>
        <w:widowControl/>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年初预算为</w:t>
      </w:r>
      <w:r>
        <w:rPr>
          <w:rFonts w:ascii="仿宋_GB2312" w:hAnsi="宋体" w:eastAsia="仿宋_GB2312" w:cs="仿宋_GB2312"/>
          <w:kern w:val="0"/>
          <w:sz w:val="32"/>
          <w:szCs w:val="32"/>
        </w:rPr>
        <w:t>0.00</w:t>
      </w:r>
      <w:r>
        <w:rPr>
          <w:rFonts w:hint="eastAsia" w:ascii="仿宋_GB2312" w:hAnsi="宋体" w:eastAsia="仿宋_GB2312" w:cs="仿宋_GB2312"/>
          <w:kern w:val="0"/>
          <w:sz w:val="32"/>
          <w:szCs w:val="32"/>
        </w:rPr>
        <w:t>万元，支出决算为60.70万元，决算数大于预算数的主要原因是公益性岗位补贴支出增加。</w:t>
      </w:r>
    </w:p>
    <w:p>
      <w:pPr>
        <w:widowControl/>
        <w:ind w:firstLine="643" w:firstLineChars="200"/>
        <w:jc w:val="left"/>
        <w:rPr>
          <w:rFonts w:ascii="仿宋_GB2312" w:hAnsi="宋体" w:eastAsia="仿宋_GB2312" w:cs="仿宋_GB2312"/>
          <w:b/>
          <w:kern w:val="0"/>
          <w:sz w:val="32"/>
          <w:szCs w:val="32"/>
        </w:rPr>
      </w:pPr>
      <w:r>
        <w:rPr>
          <w:rFonts w:ascii="仿宋_GB2312" w:hAnsi="宋体" w:eastAsia="仿宋_GB2312" w:cs="仿宋_GB2312"/>
          <w:b/>
          <w:kern w:val="0"/>
          <w:sz w:val="32"/>
          <w:szCs w:val="32"/>
        </w:rPr>
        <w:t>2.</w:t>
      </w:r>
      <w:r>
        <w:rPr>
          <w:rFonts w:hint="eastAsia" w:ascii="仿宋_GB2312" w:hAnsi="宋体" w:eastAsia="仿宋_GB2312" w:cs="仿宋_GB2312"/>
          <w:b/>
          <w:kern w:val="0"/>
          <w:sz w:val="32"/>
          <w:szCs w:val="32"/>
        </w:rPr>
        <w:t>农林水支出（类）农业农村（款）事业运行（项）。</w:t>
      </w:r>
    </w:p>
    <w:p>
      <w:pPr>
        <w:widowControl/>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年初预算为109.84万元，支出决算为96.28万元，决算数小于预算数的主要原因是人员减少支出减少。</w:t>
      </w:r>
    </w:p>
    <w:p>
      <w:pPr>
        <w:widowControl/>
        <w:ind w:firstLine="643" w:firstLineChars="200"/>
        <w:jc w:val="left"/>
        <w:rPr>
          <w:rFonts w:ascii="仿宋_GB2312" w:hAnsi="宋体" w:eastAsia="仿宋_GB2312" w:cs="仿宋_GB2312"/>
          <w:b/>
          <w:kern w:val="0"/>
          <w:sz w:val="32"/>
          <w:szCs w:val="32"/>
        </w:rPr>
      </w:pPr>
      <w:r>
        <w:rPr>
          <w:rFonts w:hint="eastAsia" w:ascii="仿宋_GB2312" w:hAnsi="宋体" w:eastAsia="仿宋_GB2312" w:cs="仿宋_GB2312"/>
          <w:b/>
          <w:kern w:val="0"/>
          <w:sz w:val="32"/>
          <w:szCs w:val="32"/>
        </w:rPr>
        <w:t>3. 农林水支出（类）农业农村（款）农业生产发展（项）。</w:t>
      </w:r>
    </w:p>
    <w:p>
      <w:pPr>
        <w:widowControl/>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年初预算为0.00万元，支出决算为87.76万元，决算数大于预算数的主要原因是增加菲格无花果基地基础设施提升改造道路硬化项目工程款支出。</w:t>
      </w:r>
    </w:p>
    <w:p>
      <w:pPr>
        <w:widowControl/>
        <w:ind w:firstLine="643" w:firstLineChars="200"/>
        <w:jc w:val="left"/>
        <w:rPr>
          <w:rFonts w:ascii="仿宋_GB2312" w:hAnsi="宋体" w:eastAsia="仿宋_GB2312" w:cs="仿宋_GB2312"/>
          <w:b/>
          <w:kern w:val="0"/>
          <w:sz w:val="32"/>
          <w:szCs w:val="32"/>
        </w:rPr>
      </w:pPr>
      <w:r>
        <w:rPr>
          <w:rFonts w:hint="eastAsia" w:ascii="仿宋_GB2312" w:hAnsi="宋体" w:eastAsia="仿宋_GB2312" w:cs="仿宋_GB2312"/>
          <w:b/>
          <w:kern w:val="0"/>
          <w:sz w:val="32"/>
          <w:szCs w:val="32"/>
        </w:rPr>
        <w:t>4. 农林水支出（类）农业农村（款）其他农业农村支出（项）。</w:t>
      </w:r>
    </w:p>
    <w:p>
      <w:pPr>
        <w:widowControl/>
        <w:ind w:firstLine="640" w:firstLineChars="200"/>
        <w:jc w:val="left"/>
      </w:pPr>
      <w:r>
        <w:rPr>
          <w:rFonts w:hint="eastAsia" w:ascii="仿宋_GB2312" w:hAnsi="宋体" w:eastAsia="仿宋_GB2312" w:cs="仿宋_GB2312"/>
          <w:kern w:val="0"/>
          <w:sz w:val="32"/>
          <w:szCs w:val="32"/>
        </w:rPr>
        <w:t>年初预算为500.00万元，支出决算为2246.27万元，决算数大于预算数的主要原因是</w:t>
      </w:r>
      <w:r>
        <w:rPr>
          <w:rFonts w:hint="eastAsia" w:ascii="仿宋_GB2312" w:hAnsi="仿宋" w:eastAsia="仿宋_GB2312"/>
          <w:sz w:val="32"/>
          <w:szCs w:val="32"/>
        </w:rPr>
        <w:t>增加园区基础设施提升改造、稷乡情农业科技公司道路硬化、漆水河防洪工程配套、撂荒大棚专项整治等项目资金支出</w:t>
      </w:r>
      <w:r>
        <w:rPr>
          <w:rFonts w:hint="eastAsia" w:ascii="仿宋_GB2312" w:hAnsi="宋体" w:eastAsia="仿宋_GB2312" w:cs="仿宋_GB2312"/>
          <w:kern w:val="0"/>
          <w:sz w:val="32"/>
          <w:szCs w:val="32"/>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w:t>
      </w:r>
      <w:r>
        <w:rPr>
          <w:rFonts w:hint="eastAsia" w:ascii="仿宋_GB2312" w:hAnsi="仿宋_GB2312" w:eastAsia="仿宋_GB2312" w:cs="仿宋_GB2312"/>
          <w:color w:val="000000"/>
          <w:kern w:val="0"/>
          <w:sz w:val="31"/>
          <w:szCs w:val="31"/>
        </w:rPr>
        <w:t>20</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96.28</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rPr>
        <w:t>包括：人员经费支出92.25万元，其中农林水支出（类）农业农村（款）事业运行（项）92.25万元；公用经费支出4.03万元，其中农林水支出（类）农业农村（款）事业运行（项）4.03元。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92.25万元，主要包括工资福利支出92.25万元。</w:t>
      </w:r>
      <w:r>
        <w:rPr>
          <w:rFonts w:hint="eastAsia" w:ascii="仿宋_GB2312" w:hAnsi="仿宋" w:eastAsia="仿宋_GB2312"/>
          <w:sz w:val="32"/>
          <w:szCs w:val="32"/>
        </w:rPr>
        <w:t>其中：基本工资24.72万元，津贴补贴3.50万元，奖金17.00万元，绩效工资27.53万元，机关事业单位基本养老保险缴费7.24万元，职工基本医疗保险缴费3.19万元，其他社会保障缴费0.32万元 ，住房公积金8.75万元。</w:t>
      </w:r>
    </w:p>
    <w:p>
      <w:pPr>
        <w:widowControl/>
        <w:ind w:firstLine="643" w:firstLineChars="200"/>
        <w:jc w:val="left"/>
        <w:rPr>
          <w:rFonts w:ascii="仿宋_GB2312" w:hAnsi="仿宋_GB2312" w:eastAsia="仿宋_GB2312" w:cs="仿宋_GB2312"/>
          <w:color w:val="000000"/>
          <w:kern w:val="0"/>
          <w:sz w:val="31"/>
          <w:szCs w:val="31"/>
        </w:rPr>
      </w:pPr>
      <w:r>
        <w:rPr>
          <w:rFonts w:hint="eastAsia"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4.03万元，主要包括商品和服务支出4.03万元</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其中：办公费</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38万元，水费</w:t>
      </w:r>
      <w:r>
        <w:rPr>
          <w:rFonts w:ascii="仿宋_GB2312" w:hAnsi="宋体" w:eastAsia="仿宋_GB2312" w:cs="仿宋_GB2312"/>
          <w:color w:val="000000"/>
          <w:kern w:val="0"/>
          <w:sz w:val="32"/>
          <w:szCs w:val="32"/>
        </w:rPr>
        <w:t>0.06</w:t>
      </w:r>
      <w:r>
        <w:rPr>
          <w:rFonts w:hint="eastAsia" w:ascii="仿宋_GB2312" w:hAnsi="宋体" w:eastAsia="仿宋_GB2312" w:cs="仿宋_GB2312"/>
          <w:color w:val="000000"/>
          <w:kern w:val="0"/>
          <w:sz w:val="32"/>
          <w:szCs w:val="32"/>
        </w:rPr>
        <w:t>万元，邮电费</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9</w:t>
      </w:r>
      <w:r>
        <w:rPr>
          <w:rFonts w:hint="eastAsia" w:ascii="仿宋_GB2312" w:hAnsi="宋体" w:eastAsia="仿宋_GB2312" w:cs="仿宋_GB2312"/>
          <w:color w:val="000000"/>
          <w:kern w:val="0"/>
          <w:sz w:val="32"/>
          <w:szCs w:val="32"/>
        </w:rPr>
        <w:t>万元，差旅费</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45万元，维修（护）费</w:t>
      </w:r>
      <w:r>
        <w:rPr>
          <w:rFonts w:ascii="仿宋_GB2312" w:hAnsi="宋体" w:eastAsia="仿宋_GB2312" w:cs="仿宋_GB2312"/>
          <w:color w:val="000000"/>
          <w:kern w:val="0"/>
          <w:sz w:val="32"/>
          <w:szCs w:val="32"/>
        </w:rPr>
        <w:t>0.1</w:t>
      </w:r>
      <w:r>
        <w:rPr>
          <w:rFonts w:hint="eastAsia" w:ascii="仿宋_GB2312" w:hAnsi="宋体" w:eastAsia="仿宋_GB2312" w:cs="仿宋_GB2312"/>
          <w:color w:val="000000"/>
          <w:kern w:val="0"/>
          <w:sz w:val="32"/>
          <w:szCs w:val="32"/>
        </w:rPr>
        <w:t>8万元，劳务费</w:t>
      </w:r>
      <w:r>
        <w:rPr>
          <w:rFonts w:ascii="仿宋_GB2312" w:hAnsi="宋体" w:eastAsia="仿宋_GB2312" w:cs="仿宋_GB2312"/>
          <w:color w:val="000000"/>
          <w:kern w:val="0"/>
          <w:sz w:val="32"/>
          <w:szCs w:val="32"/>
        </w:rPr>
        <w:t>0.1</w:t>
      </w:r>
      <w:r>
        <w:rPr>
          <w:rFonts w:hint="eastAsia" w:ascii="仿宋_GB2312" w:hAnsi="宋体" w:eastAsia="仿宋_GB2312" w:cs="仿宋_GB2312"/>
          <w:color w:val="000000"/>
          <w:kern w:val="0"/>
          <w:sz w:val="32"/>
          <w:szCs w:val="32"/>
        </w:rPr>
        <w:t>2万元，工会会费1.42万元，其他商品和服务支出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22万元。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年“三公”经费财政拨款支出预算为</w:t>
      </w:r>
      <w:r>
        <w:rPr>
          <w:rFonts w:hint="eastAsia" w:ascii="仿宋_GB2312" w:hAnsi="宋体" w:eastAsia="仿宋_GB2312" w:cs="仿宋_GB2312"/>
          <w:color w:val="000000"/>
          <w:kern w:val="0"/>
          <w:sz w:val="32"/>
          <w:szCs w:val="32"/>
        </w:rPr>
        <w:t>1.48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0.00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减少1.48万元，</w:t>
      </w:r>
      <w:r>
        <w:rPr>
          <w:rFonts w:ascii="仿宋_GB2312" w:hAnsi="宋体" w:eastAsia="仿宋_GB2312" w:cs="仿宋_GB2312"/>
          <w:color w:val="000000"/>
          <w:kern w:val="0"/>
          <w:sz w:val="32"/>
          <w:szCs w:val="32"/>
        </w:rPr>
        <w:t>主要原因是</w:t>
      </w:r>
      <w:r>
        <w:rPr>
          <w:rFonts w:hint="eastAsia" w:ascii="仿宋_GB2312" w:hAnsi="仿宋" w:eastAsia="仿宋_GB2312"/>
          <w:sz w:val="32"/>
          <w:szCs w:val="32"/>
        </w:rPr>
        <w:t>按照“只减不增”原则，严控“三公”经费支出</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20</w:t>
      </w:r>
      <w:r>
        <w:rPr>
          <w:rFonts w:ascii="仿宋_GB2312" w:hAnsi="宋体" w:eastAsia="仿宋_GB2312" w:cs="仿宋_GB2312"/>
          <w:color w:val="000000"/>
          <w:kern w:val="0"/>
          <w:sz w:val="32"/>
          <w:szCs w:val="32"/>
        </w:rPr>
        <w:t>年“三公”经费财政拨款支出决算中，因公出国（境）费支出决算</w:t>
      </w:r>
      <w:r>
        <w:rPr>
          <w:rFonts w:hint="eastAsia" w:ascii="仿宋_GB2312" w:hAnsi="宋体" w:eastAsia="仿宋_GB2312" w:cs="仿宋_GB2312"/>
          <w:color w:val="000000"/>
          <w:kern w:val="0"/>
          <w:sz w:val="32"/>
          <w:szCs w:val="32"/>
        </w:rPr>
        <w:t>0.00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0.00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费支出0.00万元，占0.00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0.00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0.00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0.00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0.00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p>
    <w:p>
      <w:pPr>
        <w:ind w:firstLine="643" w:firstLineChars="200"/>
        <w:rPr>
          <w:rFonts w:ascii="仿宋_GB2312" w:hAnsi="仿宋" w:eastAsia="仿宋_GB2312"/>
          <w:b/>
          <w:bCs/>
          <w:sz w:val="32"/>
          <w:szCs w:val="32"/>
        </w:rPr>
      </w:pPr>
    </w:p>
    <w:p>
      <w:pPr>
        <w:ind w:firstLine="643" w:firstLineChars="200"/>
        <w:rPr>
          <w:rFonts w:ascii="仿宋_GB2312" w:hAnsi="仿宋" w:eastAsia="仿宋_GB2312"/>
          <w:b/>
          <w:bCs/>
          <w:sz w:val="32"/>
          <w:szCs w:val="32"/>
        </w:rPr>
      </w:pPr>
    </w:p>
    <w:p>
      <w:pPr>
        <w:ind w:firstLine="640" w:firstLineChars="200"/>
        <w:rPr>
          <w:rFonts w:ascii="仿宋_GB2312" w:hAnsi="仿宋" w:eastAsia="仿宋_GB2312"/>
          <w:b/>
          <w:bCs/>
          <w:sz w:val="32"/>
          <w:szCs w:val="32"/>
        </w:rPr>
      </w:pPr>
      <w:r>
        <w:rPr>
          <w:rFonts w:ascii="仿宋_GB2312" w:hAnsi="宋体" w:eastAsia="仿宋_GB2312" w:cs="仿宋_GB2312"/>
          <w:color w:val="000000"/>
          <w:kern w:val="0"/>
          <w:sz w:val="32"/>
          <w:szCs w:val="32"/>
        </w:rPr>
        <w:drawing>
          <wp:inline distT="0" distB="0" distL="0" distR="0">
            <wp:extent cx="5705475" cy="3038475"/>
            <wp:effectExtent l="0" t="0" r="0" b="0"/>
            <wp:docPr id="4" name="对象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hint="eastAsia" w:ascii="仿宋_GB2312" w:hAnsi="宋体" w:eastAsia="仿宋_GB2312" w:cs="仿宋_GB2312"/>
          <w:color w:val="000000"/>
          <w:kern w:val="0"/>
          <w:sz w:val="32"/>
          <w:szCs w:val="32"/>
        </w:rPr>
        <w:t xml:space="preserve">    </w:t>
      </w: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2020年因公出国（境）团组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决算数较预算数无增减变化。</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2020年购置车辆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决算数较预算数无增减变化。</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0.48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0.00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决算数较预算数无增减变化。</w:t>
      </w:r>
    </w:p>
    <w:p>
      <w:pPr>
        <w:widowControl/>
        <w:ind w:firstLine="640" w:firstLineChars="200"/>
        <w:jc w:val="left"/>
        <w:rPr>
          <w:rFonts w:ascii="仿宋_GB2312" w:hAnsi="仿宋" w:eastAsia="仿宋_GB2312"/>
          <w:sz w:val="32"/>
          <w:szCs w:val="32"/>
        </w:rPr>
      </w:pPr>
      <w:r>
        <w:rPr>
          <w:rFonts w:ascii="仿宋_GB2312" w:hAnsi="宋体" w:eastAsia="仿宋_GB2312" w:cs="仿宋_GB2312"/>
          <w:color w:val="000000"/>
          <w:kern w:val="0"/>
          <w:sz w:val="32"/>
          <w:szCs w:val="32"/>
        </w:rPr>
        <w:drawing>
          <wp:inline distT="0" distB="0" distL="0" distR="0">
            <wp:extent cx="5391150" cy="2609850"/>
            <wp:effectExtent l="19050" t="0" r="19050" b="0"/>
            <wp:docPr id="5" name="对象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hint="eastAsia" w:ascii="仿宋_GB2312" w:hAnsi="宋体" w:eastAsia="仿宋_GB2312" w:cs="仿宋_GB2312"/>
          <w:color w:val="000000"/>
          <w:kern w:val="0"/>
          <w:sz w:val="32"/>
          <w:szCs w:val="32"/>
        </w:rPr>
        <w:t xml:space="preserve">    </w:t>
      </w: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2020年公务接待</w:t>
      </w:r>
      <w:r>
        <w:rPr>
          <w:rFonts w:hint="eastAsia" w:ascii="仿宋_GB2312" w:hAnsi="仿宋_GB2312" w:eastAsia="仿宋_GB2312" w:cs="仿宋_GB2312"/>
          <w:sz w:val="32"/>
          <w:szCs w:val="32"/>
        </w:rPr>
        <w:t>0批次，0人次，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0.00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0.00%，决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减少1.00万元，</w:t>
      </w:r>
      <w:r>
        <w:rPr>
          <w:rFonts w:ascii="仿宋_GB2312" w:hAnsi="宋体" w:eastAsia="仿宋_GB2312" w:cs="仿宋_GB2312"/>
          <w:color w:val="000000"/>
          <w:kern w:val="0"/>
          <w:sz w:val="32"/>
          <w:szCs w:val="32"/>
        </w:rPr>
        <w:t>主要原因是</w:t>
      </w:r>
      <w:r>
        <w:rPr>
          <w:rFonts w:hint="eastAsia" w:ascii="仿宋_GB2312" w:hAnsi="仿宋" w:eastAsia="仿宋_GB2312"/>
          <w:sz w:val="32"/>
          <w:szCs w:val="32"/>
        </w:rPr>
        <w:t>按照“只减不增”原则，严控公务接待</w:t>
      </w:r>
      <w:r>
        <w:rPr>
          <w:rFonts w:hint="eastAsia" w:ascii="仿宋_GB2312" w:hAnsi="宋体" w:eastAsia="仿宋_GB2312" w:cs="仿宋_GB2312"/>
          <w:color w:val="000000"/>
          <w:kern w:val="0"/>
          <w:sz w:val="32"/>
          <w:szCs w:val="32"/>
        </w:rPr>
        <w:t>。</w:t>
      </w:r>
    </w:p>
    <w:p>
      <w:pPr>
        <w:ind w:firstLine="640" w:firstLineChars="200"/>
        <w:rPr>
          <w:rFonts w:ascii="楷体_GB2312" w:hAnsi="宋体" w:eastAsia="楷体_GB2312" w:cs="楷体_GB2312"/>
          <w:b/>
          <w:color w:val="000000"/>
          <w:kern w:val="0"/>
          <w:sz w:val="32"/>
          <w:szCs w:val="32"/>
        </w:rPr>
      </w:pPr>
      <w:r>
        <w:rPr>
          <w:rFonts w:ascii="仿宋_GB2312" w:hAnsi="宋体" w:eastAsia="仿宋_GB2312" w:cs="仿宋_GB2312"/>
          <w:color w:val="000000"/>
          <w:kern w:val="0"/>
          <w:sz w:val="32"/>
          <w:szCs w:val="32"/>
        </w:rPr>
        <w:drawing>
          <wp:inline distT="0" distB="0" distL="0" distR="0">
            <wp:extent cx="5667375" cy="2543175"/>
            <wp:effectExtent l="19050" t="0" r="9525" b="0"/>
            <wp:docPr id="6" name="对象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hint="eastAsia" w:ascii="仿宋_GB2312" w:hAnsi="宋体" w:eastAsia="仿宋_GB2312" w:cs="仿宋_GB2312"/>
          <w:color w:val="000000"/>
          <w:kern w:val="0"/>
          <w:sz w:val="32"/>
          <w:szCs w:val="32"/>
        </w:rPr>
        <w:t xml:space="preserve">    </w:t>
      </w: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2020年无培训费支出。</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2020年无会议费支出。</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 w:eastAsia="仿宋_GB2312"/>
          <w:sz w:val="32"/>
          <w:szCs w:val="32"/>
        </w:rPr>
      </w:pPr>
      <w:r>
        <w:rPr>
          <w:rFonts w:hint="eastAsia" w:ascii="仿宋_GB2312" w:hAnsi="仿宋" w:eastAsia="仿宋_GB2312"/>
          <w:sz w:val="32"/>
          <w:szCs w:val="32"/>
        </w:rPr>
        <w:t>2020年政府性基金预算财政拨款收入1361.00万元，比上年增加1361.00万元，</w:t>
      </w:r>
      <w:r>
        <w:rPr>
          <w:rFonts w:hint="eastAsia" w:ascii="仿宋_GB2312" w:hAnsi="仿宋_GB2312" w:eastAsia="仿宋_GB2312" w:cs="仿宋_GB2312"/>
          <w:sz w:val="32"/>
          <w:szCs w:val="32"/>
        </w:rPr>
        <w:t>主要原因是增加</w:t>
      </w:r>
      <w:r>
        <w:rPr>
          <w:rFonts w:hint="eastAsia" w:ascii="仿宋_GB2312" w:hAnsi="仿宋" w:eastAsia="仿宋_GB2312"/>
          <w:sz w:val="32"/>
          <w:szCs w:val="32"/>
        </w:rPr>
        <w:t>良科种业智慧园项目用地资金收入。</w:t>
      </w:r>
    </w:p>
    <w:p>
      <w:pPr>
        <w:ind w:firstLine="640"/>
        <w:rPr>
          <w:rFonts w:ascii="仿宋_GB2312" w:hAnsi="仿宋_GB2312" w:eastAsia="仿宋_GB2312" w:cs="仿宋_GB2312"/>
          <w:sz w:val="32"/>
          <w:szCs w:val="32"/>
        </w:rPr>
      </w:pPr>
      <w:r>
        <w:rPr>
          <w:rFonts w:hint="eastAsia" w:ascii="仿宋_GB2312" w:hAnsi="仿宋" w:eastAsia="仿宋_GB2312"/>
          <w:sz w:val="32"/>
          <w:szCs w:val="32"/>
        </w:rPr>
        <w:t>2020年政府性基金预算财政拨款支出1361.00万元，比上年增加1361.00万元，</w:t>
      </w:r>
      <w:r>
        <w:rPr>
          <w:rFonts w:hint="eastAsia" w:ascii="仿宋_GB2312" w:hAnsi="仿宋_GB2312" w:eastAsia="仿宋_GB2312" w:cs="仿宋_GB2312"/>
          <w:sz w:val="32"/>
          <w:szCs w:val="32"/>
        </w:rPr>
        <w:t>主要原因是增加</w:t>
      </w:r>
      <w:r>
        <w:rPr>
          <w:rFonts w:hint="eastAsia" w:ascii="仿宋_GB2312" w:hAnsi="仿宋" w:eastAsia="仿宋_GB2312"/>
          <w:sz w:val="32"/>
          <w:szCs w:val="32"/>
        </w:rPr>
        <w:t>良科种业智慧园项目用地资金支出。</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十、机关运行经费支出情况说明 </w:t>
      </w:r>
    </w:p>
    <w:p>
      <w:pPr>
        <w:widowControl/>
        <w:ind w:firstLine="640" w:firstLineChars="200"/>
        <w:jc w:val="left"/>
        <w:rPr>
          <w:rFonts w:ascii="仿宋" w:hAnsi="仿宋" w:eastAsia="仿宋" w:cs="楷体"/>
          <w:color w:val="0000FF"/>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万元，事业运行经费支出</w:t>
      </w:r>
      <w:r>
        <w:rPr>
          <w:rFonts w:hint="eastAsia" w:ascii="仿宋_GB2312" w:hAnsi="宋体" w:eastAsia="仿宋_GB2312" w:cs="仿宋_GB2312"/>
          <w:color w:val="000000"/>
          <w:kern w:val="0"/>
          <w:sz w:val="32"/>
          <w:szCs w:val="32"/>
        </w:rPr>
        <w:t>4.03万元。</w:t>
      </w:r>
      <w:r>
        <w:rPr>
          <w:rFonts w:hint="eastAsia" w:ascii="仿宋" w:hAnsi="仿宋" w:eastAsia="仿宋" w:cs="楷体"/>
          <w:color w:val="0000FF"/>
          <w:kern w:val="0"/>
          <w:sz w:val="32"/>
          <w:szCs w:val="32"/>
        </w:rPr>
        <w:t xml:space="preserve"> </w:t>
      </w:r>
    </w:p>
    <w:p>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rPr>
        <w:t xml:space="preserve">十一、政府采购支出情况说明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本部门2020年无政府采购支出。</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十二、国有资产占用及购置情况说明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末，本部门机关及所属单位共有车辆12辆（洒水车2辆，清扫车3辆，垃圾车1辆，旅游观光车2辆，洗扫车2辆，低压清洗车2辆）；单价50万元以上的通用设备**台（套）；单价100万元以上的专用设备0台（套）。2020年当年购置车辆0辆；购置单价50万元以上的通用设备0台（套）；购置单价100万元以上的专用设备0台（套）。</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r>
        <w:rPr>
          <w:rFonts w:hint="eastAsia"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2020</w:t>
      </w:r>
      <w:r>
        <w:rPr>
          <w:rFonts w:ascii="仿宋_GB2312" w:hAnsi="仿宋_GB2312" w:eastAsia="仿宋_GB2312" w:cs="仿宋_GB2312"/>
          <w:sz w:val="32"/>
          <w:szCs w:val="32"/>
        </w:rPr>
        <w:t>年一般公共预算项目支出全面开展绩效自评，其中</w:t>
      </w:r>
      <w:r>
        <w:rPr>
          <w:rFonts w:ascii="仿宋_GB2312" w:hAnsi="仿宋_GB2312" w:eastAsia="仿宋_GB2312" w:cs="仿宋_GB2312"/>
          <w:sz w:val="32"/>
          <w:szCs w:val="32"/>
          <w:highlight w:val="none"/>
        </w:rPr>
        <w:t>，一级项目</w:t>
      </w:r>
      <w:r>
        <w:rPr>
          <w:rFonts w:hint="eastAsia" w:ascii="仿宋_GB2312" w:hAnsi="仿宋_GB2312" w:eastAsia="仿宋_GB2312" w:cs="仿宋_GB2312"/>
          <w:sz w:val="32"/>
          <w:szCs w:val="32"/>
          <w:highlight w:val="none"/>
        </w:rPr>
        <w:t>0</w:t>
      </w:r>
      <w:r>
        <w:rPr>
          <w:rFonts w:ascii="仿宋_GB2312" w:hAnsi="仿宋_GB2312" w:eastAsia="仿宋_GB2312" w:cs="仿宋_GB2312"/>
          <w:sz w:val="32"/>
          <w:szCs w:val="32"/>
          <w:highlight w:val="none"/>
        </w:rPr>
        <w:t>个，二级项目</w:t>
      </w:r>
      <w:r>
        <w:rPr>
          <w:rFonts w:hint="eastAsia" w:ascii="仿宋_GB2312" w:hAnsi="仿宋_GB2312" w:eastAsia="仿宋_GB2312" w:cs="仿宋_GB2312"/>
          <w:sz w:val="32"/>
          <w:szCs w:val="32"/>
          <w:highlight w:val="none"/>
        </w:rPr>
        <w:t>4</w:t>
      </w:r>
      <w:r>
        <w:rPr>
          <w:rFonts w:ascii="仿宋_GB2312" w:hAnsi="仿宋_GB2312" w:eastAsia="仿宋_GB2312" w:cs="仿宋_GB2312"/>
          <w:sz w:val="32"/>
          <w:szCs w:val="32"/>
          <w:highlight w:val="none"/>
        </w:rPr>
        <w:t>个，共涉及资金</w:t>
      </w:r>
      <w:r>
        <w:rPr>
          <w:rFonts w:hint="eastAsia" w:ascii="仿宋_GB2312" w:hAnsi="仿宋_GB2312" w:eastAsia="仿宋_GB2312" w:cs="仿宋_GB2312"/>
          <w:sz w:val="32"/>
          <w:szCs w:val="32"/>
          <w:highlight w:val="none"/>
        </w:rPr>
        <w:t>3755.72</w:t>
      </w:r>
      <w:r>
        <w:rPr>
          <w:rFonts w:ascii="仿宋_GB2312" w:hAnsi="仿宋_GB2312" w:eastAsia="仿宋_GB2312" w:cs="仿宋_GB2312"/>
          <w:sz w:val="32"/>
          <w:szCs w:val="32"/>
          <w:highlight w:val="none"/>
        </w:rPr>
        <w:t>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sz w:val="32"/>
          <w:szCs w:val="32"/>
        </w:rPr>
        <w:t>22.30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rPr>
        <w:t>组织对 20</w:t>
      </w:r>
      <w:r>
        <w:rPr>
          <w:rFonts w:hint="eastAsia" w:ascii="仿宋_GB2312" w:hAnsi="仿宋_GB2312" w:eastAsia="仿宋_GB2312" w:cs="仿宋_GB2312"/>
          <w:color w:val="000000"/>
          <w:kern w:val="0"/>
          <w:sz w:val="31"/>
          <w:szCs w:val="31"/>
        </w:rPr>
        <w:t>20</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rPr>
        <w:t>1</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1361.00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pPr>
      <w:r>
        <w:rPr>
          <w:rFonts w:hint="eastAsia" w:ascii="仿宋_GB2312" w:hAnsi="仿宋_GB2312" w:eastAsia="仿宋_GB2312" w:cs="仿宋_GB2312"/>
          <w:color w:val="000000"/>
          <w:kern w:val="0"/>
          <w:sz w:val="31"/>
          <w:szCs w:val="31"/>
        </w:rPr>
        <w:t>1、公益性岗位补贴</w:t>
      </w:r>
      <w:r>
        <w:rPr>
          <w:rFonts w:ascii="仿宋_GB2312" w:hAnsi="仿宋_GB2312" w:eastAsia="仿宋_GB2312" w:cs="仿宋_GB2312"/>
          <w:color w:val="000000"/>
          <w:kern w:val="0"/>
          <w:sz w:val="31"/>
          <w:szCs w:val="31"/>
        </w:rPr>
        <w:t>项目绩效自评综述：根据年初设定的绩效目标。项目全年预算数</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60.69</w:t>
      </w:r>
      <w:r>
        <w:rPr>
          <w:rFonts w:ascii="仿宋_GB2312" w:hAnsi="仿宋_GB2312" w:eastAsia="仿宋_GB2312" w:cs="仿宋_GB2312"/>
          <w:color w:val="000000"/>
          <w:kern w:val="0"/>
          <w:sz w:val="31"/>
          <w:szCs w:val="31"/>
        </w:rPr>
        <w:t>万元。主要产出和效果：通过项目实施</w:t>
      </w:r>
      <w:r>
        <w:rPr>
          <w:rFonts w:hint="eastAsia" w:ascii="仿宋_GB2312" w:hAnsi="仿宋_GB2312" w:eastAsia="仿宋_GB2312" w:cs="仿宋_GB2312"/>
          <w:color w:val="000000"/>
          <w:kern w:val="0"/>
          <w:sz w:val="31"/>
          <w:szCs w:val="31"/>
        </w:rPr>
        <w:t>极大的解决园区环卫工工资不足问题，确保园区环境卫生保洁。</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应加强园区环卫工管理工作，保证提升园区环境卫生保洁。</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积极争取资金，确保园区环卫工工资能够按时发放，园区环境卫生保洁再提升。</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2、杨凌良科种业智慧园项目</w:t>
      </w:r>
      <w:r>
        <w:rPr>
          <w:rFonts w:ascii="仿宋_GB2312" w:hAnsi="仿宋_GB2312" w:eastAsia="仿宋_GB2312" w:cs="仿宋_GB2312"/>
          <w:color w:val="000000"/>
          <w:kern w:val="0"/>
          <w:sz w:val="31"/>
          <w:szCs w:val="31"/>
        </w:rPr>
        <w:t>绩效自评综述：根据年初设定的绩效目标。项目全年预算数</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1361.00</w:t>
      </w:r>
      <w:r>
        <w:rPr>
          <w:rFonts w:ascii="仿宋_GB2312" w:hAnsi="仿宋_GB2312" w:eastAsia="仿宋_GB2312" w:cs="仿宋_GB2312"/>
          <w:color w:val="000000"/>
          <w:kern w:val="0"/>
          <w:sz w:val="31"/>
          <w:szCs w:val="31"/>
        </w:rPr>
        <w:t>万元。主要产出和效果：通过项目实施</w:t>
      </w:r>
      <w:r>
        <w:rPr>
          <w:rFonts w:hint="eastAsia" w:ascii="仿宋_GB2312" w:hAnsi="仿宋_GB2312" w:eastAsia="仿宋_GB2312" w:cs="仿宋_GB2312"/>
          <w:color w:val="000000"/>
          <w:kern w:val="0"/>
          <w:sz w:val="31"/>
          <w:szCs w:val="31"/>
        </w:rPr>
        <w:t>，提高玉米新品种育种，提升种子质量，提高产量，促进了现代农业生产发展，提高农户收入。降低成本，提升产量，提高农户收入。</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加强项目建设初期服务工作，提高项目建设进度。</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积极联系服务企业，确保项目建设按照进度实施。</w:t>
      </w:r>
    </w:p>
    <w:p>
      <w:pPr>
        <w:ind w:firstLine="620" w:firstLineChars="200"/>
        <w:rPr>
          <w:rFonts w:ascii="楷体" w:hAnsi="楷体" w:eastAsia="楷体" w:cs="楷体"/>
          <w:sz w:val="32"/>
          <w:szCs w:val="32"/>
        </w:rPr>
      </w:pPr>
      <w:r>
        <w:rPr>
          <w:rFonts w:hint="eastAsia" w:ascii="仿宋_GB2312" w:hAnsi="仿宋_GB2312" w:eastAsia="仿宋_GB2312" w:cs="仿宋_GB2312"/>
          <w:color w:val="000000"/>
          <w:kern w:val="0"/>
          <w:sz w:val="31"/>
          <w:szCs w:val="31"/>
        </w:rPr>
        <w:t>3、菲格无花果基地道路硬化</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70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175.51</w:t>
      </w:r>
      <w:r>
        <w:rPr>
          <w:rFonts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kern w:val="0"/>
          <w:sz w:val="31"/>
          <w:szCs w:val="31"/>
        </w:rPr>
        <w:t>87.76</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50.00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rPr>
        <w:t>极大的改善了农庄内部基础设施，实现了交通平线的连接，促进了农庄经济发展。</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项目在实施过程中，发现</w:t>
      </w:r>
      <w:r>
        <w:rPr>
          <w:rFonts w:ascii="仿宋_GB2312" w:hAnsi="仿宋_GB2312" w:eastAsia="仿宋_GB2312" w:cs="仿宋_GB2312"/>
          <w:color w:val="000000"/>
          <w:kern w:val="0"/>
          <w:sz w:val="31"/>
          <w:szCs w:val="31"/>
        </w:rPr>
        <w:t>因基地扩大生产</w:t>
      </w:r>
      <w:r>
        <w:rPr>
          <w:rFonts w:hint="eastAsia" w:ascii="仿宋_GB2312" w:hAnsi="仿宋_GB2312" w:eastAsia="仿宋_GB2312" w:cs="仿宋_GB2312"/>
          <w:color w:val="000000"/>
          <w:kern w:val="0"/>
          <w:sz w:val="31"/>
          <w:szCs w:val="31"/>
        </w:rPr>
        <w:t>，原有部分低压线路不能满足生产需求，需进行提升改造，由于本次资金有限未能纳入本次项目予以实施。</w:t>
      </w:r>
      <w:r>
        <w:rPr>
          <w:rFonts w:ascii="仿宋_GB2312" w:hAnsi="仿宋_GB2312" w:eastAsia="仿宋_GB2312" w:cs="仿宋_GB2312"/>
          <w:color w:val="000000"/>
          <w:kern w:val="0"/>
          <w:sz w:val="31"/>
          <w:szCs w:val="31"/>
        </w:rPr>
        <w:t>下一步改进措施：联系该基地自行筹集资金</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对低压线路予以改造</w:t>
      </w:r>
      <w:r>
        <w:rPr>
          <w:rFonts w:hint="eastAsia" w:ascii="仿宋_GB2312" w:hAnsi="仿宋_GB2312" w:eastAsia="仿宋_GB2312" w:cs="仿宋_GB2312"/>
          <w:color w:val="000000"/>
          <w:kern w:val="0"/>
          <w:sz w:val="31"/>
          <w:szCs w:val="31"/>
        </w:rPr>
        <w:t>，满足</w:t>
      </w:r>
      <w:r>
        <w:rPr>
          <w:rFonts w:ascii="仿宋_GB2312" w:hAnsi="仿宋_GB2312" w:eastAsia="仿宋_GB2312" w:cs="仿宋_GB2312"/>
          <w:color w:val="000000"/>
          <w:kern w:val="0"/>
          <w:sz w:val="31"/>
          <w:szCs w:val="31"/>
        </w:rPr>
        <w:t>基地扩大生产需求</w:t>
      </w:r>
      <w:r>
        <w:rPr>
          <w:rFonts w:hint="eastAsia" w:ascii="仿宋_GB2312" w:hAnsi="仿宋_GB2312" w:eastAsia="仿宋_GB2312" w:cs="仿宋_GB2312"/>
          <w:color w:val="000000"/>
          <w:kern w:val="0"/>
          <w:sz w:val="31"/>
          <w:szCs w:val="31"/>
        </w:rPr>
        <w:t>。</w:t>
      </w:r>
    </w:p>
    <w:p>
      <w:pPr>
        <w:ind w:firstLine="620" w:firstLineChars="200"/>
        <w:rPr>
          <w:rFonts w:ascii="楷体" w:hAnsi="楷体" w:eastAsia="楷体" w:cs="楷体"/>
          <w:sz w:val="32"/>
          <w:szCs w:val="32"/>
        </w:rPr>
      </w:pPr>
      <w:r>
        <w:rPr>
          <w:rFonts w:hint="eastAsia" w:ascii="仿宋_GB2312" w:hAnsi="仿宋_GB2312" w:eastAsia="仿宋_GB2312" w:cs="仿宋_GB2312"/>
          <w:color w:val="000000"/>
          <w:kern w:val="0"/>
          <w:sz w:val="31"/>
          <w:szCs w:val="31"/>
        </w:rPr>
        <w:t>4、园区建设及先正达项目</w:t>
      </w:r>
      <w:r>
        <w:rPr>
          <w:rFonts w:ascii="仿宋_GB2312" w:hAnsi="仿宋_GB2312" w:eastAsia="仿宋_GB2312" w:cs="仿宋_GB2312"/>
          <w:color w:val="000000"/>
          <w:kern w:val="0"/>
          <w:sz w:val="31"/>
          <w:szCs w:val="31"/>
        </w:rPr>
        <w:t>绩效自评综述：根据年初设定的绩效目标。项目全年预算数</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2246.27</w:t>
      </w:r>
      <w:r>
        <w:rPr>
          <w:rFonts w:ascii="仿宋_GB2312" w:hAnsi="仿宋_GB2312" w:eastAsia="仿宋_GB2312" w:cs="仿宋_GB2312"/>
          <w:color w:val="000000"/>
          <w:kern w:val="0"/>
          <w:sz w:val="31"/>
          <w:szCs w:val="31"/>
        </w:rPr>
        <w:t>万元。主要产出和效果：通过项目实施</w:t>
      </w:r>
      <w:r>
        <w:rPr>
          <w:rFonts w:hint="eastAsia" w:ascii="仿宋_GB2312" w:hAnsi="仿宋_GB2312" w:eastAsia="仿宋_GB2312" w:cs="仿宋_GB2312"/>
          <w:color w:val="000000"/>
          <w:kern w:val="0"/>
          <w:sz w:val="31"/>
          <w:szCs w:val="31"/>
        </w:rPr>
        <w:t>，提高玉米新品种育种，提升种子质量，提高产量，促进了现代农业生产发展，提高农户收入。降低成本，提升产量，提高农户收入。</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加强项目建设初期服务工作，提高项目建设进度。</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积极联系服务企业，确保项目建设按照进度实施。</w:t>
      </w:r>
    </w:p>
    <w:p>
      <w:pPr>
        <w:widowControl/>
        <w:jc w:val="left"/>
        <w:rPr>
          <w:rFonts w:ascii="楷体" w:hAnsi="楷体" w:eastAsia="楷体" w:cs="楷体"/>
          <w:sz w:val="32"/>
          <w:szCs w:val="32"/>
        </w:rPr>
        <w:sectPr>
          <w:footerReference r:id="rId3" w:type="default"/>
          <w:pgSz w:w="11906" w:h="16838"/>
          <w:pgMar w:top="1985" w:right="1588" w:bottom="1276" w:left="1474" w:header="851" w:footer="992" w:gutter="0"/>
          <w:pgNumType w:fmt="numberInDash"/>
          <w:cols w:space="720" w:num="1"/>
          <w:docGrid w:type="lines" w:linePitch="315" w:charSpace="0"/>
        </w:sectPr>
      </w:pPr>
      <w:r>
        <w:rPr>
          <w:rFonts w:hint="eastAsia" w:ascii="楷体" w:hAnsi="楷体" w:eastAsia="楷体" w:cs="楷体"/>
          <w:sz w:val="32"/>
          <w:szCs w:val="32"/>
        </w:rPr>
        <w:object>
          <v:shape id="_x0000_i1025" o:spt="75" type="#_x0000_t75" style="height:677.2pt;width:478.85pt;" o:ole="t" filled="f" o:preferrelative="t" stroked="f" coordsize="21600,21600">
            <v:path/>
            <v:fill on="f" focussize="0,0"/>
            <v:stroke on="f" joinstyle="miter"/>
            <v:imagedata r:id="rId23" o:title=""/>
            <o:lock v:ext="edit" aspectratio="t"/>
            <w10:wrap type="none"/>
            <w10:anchorlock/>
          </v:shape>
          <o:OLEObject Type="Embed" ProgID="Excel.Sheet.8" ShapeID="_x0000_i1025" DrawAspect="Content" ObjectID="_1468075726" r:id="rId22">
            <o:LockedField>false</o:LockedField>
          </o:OLEObject>
        </w:object>
      </w:r>
      <w:r>
        <w:rPr>
          <w:rFonts w:hint="eastAsia" w:ascii="楷体" w:hAnsi="楷体" w:eastAsia="楷体" w:cs="楷体"/>
          <w:sz w:val="32"/>
          <w:szCs w:val="32"/>
        </w:rPr>
        <w:object>
          <v:shape id="_x0000_i1026" o:spt="75" type="#_x0000_t75" style="height:677.2pt;width:478.85pt;" o:ole="t" filled="f" o:preferrelative="t" stroked="f" coordsize="21600,21600">
            <v:path/>
            <v:fill on="f" focussize="0,0"/>
            <v:stroke on="f" joinstyle="miter"/>
            <v:imagedata r:id="rId25" o:title=""/>
            <o:lock v:ext="edit" aspectratio="t"/>
            <w10:wrap type="none"/>
            <w10:anchorlock/>
          </v:shape>
          <o:OLEObject Type="Embed" ProgID="Excel.Sheet.8" ShapeID="_x0000_i1026" DrawAspect="Content" ObjectID="_1468075727" r:id="rId24">
            <o:LockedField>false</o:LockedField>
          </o:OLEObject>
        </w:object>
      </w:r>
      <w:r>
        <w:rPr>
          <w:rFonts w:hint="eastAsia" w:ascii="楷体" w:hAnsi="楷体" w:eastAsia="楷体" w:cs="楷体"/>
          <w:sz w:val="32"/>
          <w:szCs w:val="32"/>
        </w:rPr>
        <w:object>
          <v:shape id="_x0000_i1027" o:spt="75" type="#_x0000_t75" style="height:665pt;width:499.25pt;" o:ole="t" filled="f" o:preferrelative="t" stroked="f" coordsize="21600,21600">
            <v:path/>
            <v:fill on="f" focussize="0,0"/>
            <v:stroke on="f" joinstyle="miter"/>
            <v:imagedata r:id="rId27" o:title=""/>
            <o:lock v:ext="edit" aspectratio="t"/>
            <w10:wrap type="none"/>
            <w10:anchorlock/>
          </v:shape>
          <o:OLEObject Type="Embed" ProgID="Excel.Sheet.8" ShapeID="_x0000_i1027" DrawAspect="Content" ObjectID="_1468075728" r:id="rId26">
            <o:LockedField>false</o:LockedField>
          </o:OLEObject>
        </w:object>
      </w:r>
      <w:r>
        <w:rPr>
          <w:rFonts w:hint="eastAsia" w:ascii="楷体" w:hAnsi="楷体" w:eastAsia="楷体" w:cs="楷体"/>
          <w:sz w:val="32"/>
          <w:szCs w:val="32"/>
        </w:rPr>
        <w:object>
          <v:shape id="_x0000_i1028" o:spt="75" type="#_x0000_t75" style="height:665pt;width:504.7pt;" o:ole="t" filled="f" o:preferrelative="t" stroked="f" coordsize="21600,21600">
            <v:path/>
            <v:fill on="f" focussize="0,0"/>
            <v:stroke on="f" joinstyle="miter"/>
            <v:imagedata r:id="rId29" o:title=""/>
            <o:lock v:ext="edit" aspectratio="t"/>
            <w10:wrap type="none"/>
            <w10:anchorlock/>
          </v:shape>
          <o:OLEObject Type="Embed" ProgID="Excel.Sheet.8" ShapeID="_x0000_i1028" DrawAspect="Content" ObjectID="_1468075729" r:id="rId28">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9" o:spt="75" type="#_x0000_t75" style="height:1316.4pt;width:636.45pt;" o:ole="t" filled="f" o:preferrelative="t" stroked="f" coordsize="21600,21600">
            <v:path/>
            <v:fill on="f" focussize="0,0"/>
            <v:stroke on="f" joinstyle="miter"/>
            <v:imagedata r:id="rId31" o:title=""/>
            <o:lock v:ext="edit" aspectratio="t"/>
            <w10:wrap type="none"/>
            <w10:anchorlock/>
          </v:shape>
          <o:OLEObject Type="Embed" ProgID="Excel.Sheet.8" ShapeID="_x0000_i1029" DrawAspect="Content" ObjectID="_1468075730" r:id="rId30">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30" o:spt="75" type="#_x0000_t75" style="height:401.45pt;width:616.75pt;" o:ole="t" filled="f" o:preferrelative="t" stroked="f" coordsize="21600,21600">
            <v:path/>
            <v:fill on="f" focussize="0,0"/>
            <v:stroke on="f" joinstyle="miter"/>
            <v:imagedata r:id="rId33" o:title=""/>
            <o:lock v:ext="edit" aspectratio="t"/>
            <w10:wrap type="none"/>
            <w10:anchorlock/>
          </v:shape>
          <o:OLEObject Type="Embed" ProgID="Excel.Sheet.8" ShapeID="_x0000_i1030" DrawAspect="Content" ObjectID="_1468075731" r:id="rId32">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pgNumType w:fmt="numberInDash"/>
          <w:cols w:space="720" w:num="1"/>
          <w:docGrid w:type="lines" w:linePitch="315" w:charSpace="0"/>
        </w:sectPr>
      </w:pPr>
      <w:r>
        <w:rPr>
          <w:rFonts w:hint="eastAsia" w:ascii="楷体" w:hAnsi="楷体" w:eastAsia="楷体" w:cs="楷体"/>
          <w:sz w:val="32"/>
          <w:szCs w:val="32"/>
        </w:rPr>
        <w:object>
          <v:shape id="_x0000_i1031" o:spt="75" type="#_x0000_t75" style="height:341pt;width:595pt;" o:ole="t" filled="f" o:preferrelative="t" stroked="f" coordsize="21600,21600">
            <v:path/>
            <v:fill on="f" focussize="0,0"/>
            <v:stroke on="f" joinstyle="miter"/>
            <v:imagedata r:id="rId35" o:title=""/>
            <o:lock v:ext="edit" aspectratio="t"/>
            <w10:wrap type="none"/>
            <w10:anchorlock/>
          </v:shape>
          <o:OLEObject Type="Embed" ProgID="Excel.Sheet.8" ShapeID="_x0000_i1031" DrawAspect="Content" ObjectID="_1468075732" r:id="rId34">
            <o:LockedField>false</o:LockedField>
          </o:OLEObject>
        </w:object>
      </w: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 o:spid="_x0000_s2050"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- 35 -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8147B"/>
    <w:rsid w:val="000125AE"/>
    <w:rsid w:val="00022AEC"/>
    <w:rsid w:val="0003285C"/>
    <w:rsid w:val="00087250"/>
    <w:rsid w:val="000A48F0"/>
    <w:rsid w:val="000B744A"/>
    <w:rsid w:val="000C4125"/>
    <w:rsid w:val="000C67DF"/>
    <w:rsid w:val="000E329C"/>
    <w:rsid w:val="000E4358"/>
    <w:rsid w:val="000F1CB7"/>
    <w:rsid w:val="000F55C4"/>
    <w:rsid w:val="000F6971"/>
    <w:rsid w:val="00115624"/>
    <w:rsid w:val="00126365"/>
    <w:rsid w:val="00150E6A"/>
    <w:rsid w:val="0015146A"/>
    <w:rsid w:val="001629A0"/>
    <w:rsid w:val="001773FD"/>
    <w:rsid w:val="00185F7F"/>
    <w:rsid w:val="00191F83"/>
    <w:rsid w:val="0019343F"/>
    <w:rsid w:val="001A62FA"/>
    <w:rsid w:val="001B00BD"/>
    <w:rsid w:val="001B1E9E"/>
    <w:rsid w:val="001B38D6"/>
    <w:rsid w:val="001C43BA"/>
    <w:rsid w:val="001E0609"/>
    <w:rsid w:val="001F087D"/>
    <w:rsid w:val="001F46AA"/>
    <w:rsid w:val="00204F12"/>
    <w:rsid w:val="00217A7B"/>
    <w:rsid w:val="002371E2"/>
    <w:rsid w:val="00241C1B"/>
    <w:rsid w:val="0027665F"/>
    <w:rsid w:val="0029463F"/>
    <w:rsid w:val="002A652B"/>
    <w:rsid w:val="002A6821"/>
    <w:rsid w:val="002C1BA8"/>
    <w:rsid w:val="00300259"/>
    <w:rsid w:val="00300AE7"/>
    <w:rsid w:val="00300D9C"/>
    <w:rsid w:val="00314892"/>
    <w:rsid w:val="003316FA"/>
    <w:rsid w:val="00334258"/>
    <w:rsid w:val="00334813"/>
    <w:rsid w:val="003356B4"/>
    <w:rsid w:val="00342404"/>
    <w:rsid w:val="0035053D"/>
    <w:rsid w:val="00357995"/>
    <w:rsid w:val="00363681"/>
    <w:rsid w:val="00371F0E"/>
    <w:rsid w:val="00373640"/>
    <w:rsid w:val="0038147B"/>
    <w:rsid w:val="00396357"/>
    <w:rsid w:val="003C30A9"/>
    <w:rsid w:val="003C6462"/>
    <w:rsid w:val="003C7263"/>
    <w:rsid w:val="003D1372"/>
    <w:rsid w:val="003E3213"/>
    <w:rsid w:val="003E3845"/>
    <w:rsid w:val="003E65B5"/>
    <w:rsid w:val="003E6985"/>
    <w:rsid w:val="004217B4"/>
    <w:rsid w:val="004366EB"/>
    <w:rsid w:val="0047260F"/>
    <w:rsid w:val="004802D3"/>
    <w:rsid w:val="00490ED5"/>
    <w:rsid w:val="004F66CB"/>
    <w:rsid w:val="00500424"/>
    <w:rsid w:val="005036B4"/>
    <w:rsid w:val="005112B5"/>
    <w:rsid w:val="005255BA"/>
    <w:rsid w:val="0052753A"/>
    <w:rsid w:val="00532B9F"/>
    <w:rsid w:val="00537082"/>
    <w:rsid w:val="00546FB4"/>
    <w:rsid w:val="0055165C"/>
    <w:rsid w:val="00551AF4"/>
    <w:rsid w:val="00553A28"/>
    <w:rsid w:val="00554C0C"/>
    <w:rsid w:val="00555D23"/>
    <w:rsid w:val="005618F7"/>
    <w:rsid w:val="00570B09"/>
    <w:rsid w:val="0058441A"/>
    <w:rsid w:val="005B01ED"/>
    <w:rsid w:val="005C4601"/>
    <w:rsid w:val="005C7163"/>
    <w:rsid w:val="00623CC9"/>
    <w:rsid w:val="00634834"/>
    <w:rsid w:val="0063697F"/>
    <w:rsid w:val="006551E5"/>
    <w:rsid w:val="00655313"/>
    <w:rsid w:val="006621E6"/>
    <w:rsid w:val="00664EB0"/>
    <w:rsid w:val="00667CD8"/>
    <w:rsid w:val="0067080B"/>
    <w:rsid w:val="00693B2D"/>
    <w:rsid w:val="00697C67"/>
    <w:rsid w:val="006B4132"/>
    <w:rsid w:val="006B78D4"/>
    <w:rsid w:val="006D7E64"/>
    <w:rsid w:val="00720E7F"/>
    <w:rsid w:val="00722707"/>
    <w:rsid w:val="0073045D"/>
    <w:rsid w:val="0075466D"/>
    <w:rsid w:val="007549FB"/>
    <w:rsid w:val="007615CD"/>
    <w:rsid w:val="00774FB5"/>
    <w:rsid w:val="00775E0E"/>
    <w:rsid w:val="007800BD"/>
    <w:rsid w:val="007863E7"/>
    <w:rsid w:val="0078706A"/>
    <w:rsid w:val="0079142A"/>
    <w:rsid w:val="00795504"/>
    <w:rsid w:val="00797128"/>
    <w:rsid w:val="007B1492"/>
    <w:rsid w:val="007C2527"/>
    <w:rsid w:val="007C30EC"/>
    <w:rsid w:val="007C6930"/>
    <w:rsid w:val="007C788F"/>
    <w:rsid w:val="007D0E6F"/>
    <w:rsid w:val="007F2143"/>
    <w:rsid w:val="007F3378"/>
    <w:rsid w:val="007F3E22"/>
    <w:rsid w:val="0080725D"/>
    <w:rsid w:val="00820733"/>
    <w:rsid w:val="00837371"/>
    <w:rsid w:val="00877EA0"/>
    <w:rsid w:val="00881322"/>
    <w:rsid w:val="00892383"/>
    <w:rsid w:val="00896613"/>
    <w:rsid w:val="008B40E3"/>
    <w:rsid w:val="008C573D"/>
    <w:rsid w:val="008D0450"/>
    <w:rsid w:val="00902979"/>
    <w:rsid w:val="00931BC7"/>
    <w:rsid w:val="00977913"/>
    <w:rsid w:val="0098464E"/>
    <w:rsid w:val="009966D7"/>
    <w:rsid w:val="009D177F"/>
    <w:rsid w:val="009D2022"/>
    <w:rsid w:val="00A0243C"/>
    <w:rsid w:val="00A1025A"/>
    <w:rsid w:val="00A12CEF"/>
    <w:rsid w:val="00A13426"/>
    <w:rsid w:val="00A14241"/>
    <w:rsid w:val="00A163EA"/>
    <w:rsid w:val="00A230F6"/>
    <w:rsid w:val="00A66BB7"/>
    <w:rsid w:val="00A67D54"/>
    <w:rsid w:val="00A7497C"/>
    <w:rsid w:val="00A829D0"/>
    <w:rsid w:val="00AA0096"/>
    <w:rsid w:val="00AA73F5"/>
    <w:rsid w:val="00AB7457"/>
    <w:rsid w:val="00AC15E7"/>
    <w:rsid w:val="00AC6F64"/>
    <w:rsid w:val="00AC7016"/>
    <w:rsid w:val="00AD4F2F"/>
    <w:rsid w:val="00AF05A2"/>
    <w:rsid w:val="00AF0E90"/>
    <w:rsid w:val="00AF5359"/>
    <w:rsid w:val="00B00459"/>
    <w:rsid w:val="00B05BE7"/>
    <w:rsid w:val="00B07F0D"/>
    <w:rsid w:val="00B4536A"/>
    <w:rsid w:val="00B46594"/>
    <w:rsid w:val="00B46729"/>
    <w:rsid w:val="00B47962"/>
    <w:rsid w:val="00B51B37"/>
    <w:rsid w:val="00B53627"/>
    <w:rsid w:val="00B738CB"/>
    <w:rsid w:val="00B85C08"/>
    <w:rsid w:val="00B93294"/>
    <w:rsid w:val="00BB4C3D"/>
    <w:rsid w:val="00BD1E30"/>
    <w:rsid w:val="00BE7963"/>
    <w:rsid w:val="00BF609A"/>
    <w:rsid w:val="00C038A8"/>
    <w:rsid w:val="00C0462F"/>
    <w:rsid w:val="00C22891"/>
    <w:rsid w:val="00C27C13"/>
    <w:rsid w:val="00C6514D"/>
    <w:rsid w:val="00C74911"/>
    <w:rsid w:val="00C77800"/>
    <w:rsid w:val="00C77E9A"/>
    <w:rsid w:val="00CA09C7"/>
    <w:rsid w:val="00CB1BE5"/>
    <w:rsid w:val="00CC4346"/>
    <w:rsid w:val="00CC6B65"/>
    <w:rsid w:val="00CE22F4"/>
    <w:rsid w:val="00CE7121"/>
    <w:rsid w:val="00CE7F4F"/>
    <w:rsid w:val="00D062D4"/>
    <w:rsid w:val="00D46C1C"/>
    <w:rsid w:val="00D56C7B"/>
    <w:rsid w:val="00D64A7A"/>
    <w:rsid w:val="00D65F62"/>
    <w:rsid w:val="00D65F92"/>
    <w:rsid w:val="00D75730"/>
    <w:rsid w:val="00D8549A"/>
    <w:rsid w:val="00D871D8"/>
    <w:rsid w:val="00DB37BE"/>
    <w:rsid w:val="00DC2CDD"/>
    <w:rsid w:val="00DC6AED"/>
    <w:rsid w:val="00DF4670"/>
    <w:rsid w:val="00DF56E7"/>
    <w:rsid w:val="00DF59EF"/>
    <w:rsid w:val="00DF731F"/>
    <w:rsid w:val="00E06E24"/>
    <w:rsid w:val="00E10345"/>
    <w:rsid w:val="00E11238"/>
    <w:rsid w:val="00E12525"/>
    <w:rsid w:val="00E12822"/>
    <w:rsid w:val="00E36E2F"/>
    <w:rsid w:val="00E4603E"/>
    <w:rsid w:val="00E55503"/>
    <w:rsid w:val="00E61CBA"/>
    <w:rsid w:val="00E67A8A"/>
    <w:rsid w:val="00E702DD"/>
    <w:rsid w:val="00E81274"/>
    <w:rsid w:val="00E8786E"/>
    <w:rsid w:val="00E95337"/>
    <w:rsid w:val="00EB1609"/>
    <w:rsid w:val="00ED2B6C"/>
    <w:rsid w:val="00EE1FBD"/>
    <w:rsid w:val="00EE79CC"/>
    <w:rsid w:val="00F01DDE"/>
    <w:rsid w:val="00F15D58"/>
    <w:rsid w:val="00F170DB"/>
    <w:rsid w:val="00F17559"/>
    <w:rsid w:val="00F42C8A"/>
    <w:rsid w:val="00F43F87"/>
    <w:rsid w:val="00F710BF"/>
    <w:rsid w:val="00F7175F"/>
    <w:rsid w:val="00F75F06"/>
    <w:rsid w:val="00F804EA"/>
    <w:rsid w:val="00FA5195"/>
    <w:rsid w:val="00FD44F6"/>
    <w:rsid w:val="00FD4AE0"/>
    <w:rsid w:val="00FF25BF"/>
    <w:rsid w:val="00FF3C76"/>
    <w:rsid w:val="00FF53AF"/>
    <w:rsid w:val="01EB657A"/>
    <w:rsid w:val="023F6D5E"/>
    <w:rsid w:val="029E06D8"/>
    <w:rsid w:val="0354494F"/>
    <w:rsid w:val="03D45C4B"/>
    <w:rsid w:val="05EE7D6F"/>
    <w:rsid w:val="06E76A15"/>
    <w:rsid w:val="09700FFA"/>
    <w:rsid w:val="097E7978"/>
    <w:rsid w:val="0D76067E"/>
    <w:rsid w:val="0F2C03CF"/>
    <w:rsid w:val="0F515B2B"/>
    <w:rsid w:val="0F9674D8"/>
    <w:rsid w:val="13EA05EF"/>
    <w:rsid w:val="15567A51"/>
    <w:rsid w:val="157F641B"/>
    <w:rsid w:val="18990935"/>
    <w:rsid w:val="19F46943"/>
    <w:rsid w:val="1AC14C1A"/>
    <w:rsid w:val="1ADC74E7"/>
    <w:rsid w:val="1CE46BCE"/>
    <w:rsid w:val="1D01397E"/>
    <w:rsid w:val="1D9705AD"/>
    <w:rsid w:val="209F0758"/>
    <w:rsid w:val="210C0353"/>
    <w:rsid w:val="228D446D"/>
    <w:rsid w:val="25345DFB"/>
    <w:rsid w:val="254C720C"/>
    <w:rsid w:val="25890D8B"/>
    <w:rsid w:val="271E74BE"/>
    <w:rsid w:val="284E0329"/>
    <w:rsid w:val="2C1A0E7D"/>
    <w:rsid w:val="2C415943"/>
    <w:rsid w:val="2C6B1098"/>
    <w:rsid w:val="2D04227B"/>
    <w:rsid w:val="2D8F0E23"/>
    <w:rsid w:val="2F870B13"/>
    <w:rsid w:val="30E96B9E"/>
    <w:rsid w:val="30EE548C"/>
    <w:rsid w:val="31F602D0"/>
    <w:rsid w:val="34596819"/>
    <w:rsid w:val="34834E06"/>
    <w:rsid w:val="39DB4390"/>
    <w:rsid w:val="3AB508FD"/>
    <w:rsid w:val="3C4A21DE"/>
    <w:rsid w:val="3D3E22E9"/>
    <w:rsid w:val="3E7A0D74"/>
    <w:rsid w:val="42E66F17"/>
    <w:rsid w:val="43364F1F"/>
    <w:rsid w:val="44B5452F"/>
    <w:rsid w:val="45755E61"/>
    <w:rsid w:val="47E85BA3"/>
    <w:rsid w:val="49227C71"/>
    <w:rsid w:val="49F81F8C"/>
    <w:rsid w:val="4A121DD1"/>
    <w:rsid w:val="4AD02097"/>
    <w:rsid w:val="522508E1"/>
    <w:rsid w:val="54B211AD"/>
    <w:rsid w:val="56ED1518"/>
    <w:rsid w:val="57137879"/>
    <w:rsid w:val="573875E5"/>
    <w:rsid w:val="59164612"/>
    <w:rsid w:val="5A981153"/>
    <w:rsid w:val="5C310139"/>
    <w:rsid w:val="5D7F3C55"/>
    <w:rsid w:val="5E114473"/>
    <w:rsid w:val="5E4D71C7"/>
    <w:rsid w:val="61D36095"/>
    <w:rsid w:val="644674B4"/>
    <w:rsid w:val="654275B8"/>
    <w:rsid w:val="65B41B36"/>
    <w:rsid w:val="65FA3F87"/>
    <w:rsid w:val="6700755B"/>
    <w:rsid w:val="675F7FA7"/>
    <w:rsid w:val="6934794E"/>
    <w:rsid w:val="6B5A7A2B"/>
    <w:rsid w:val="700E1656"/>
    <w:rsid w:val="70CA11DE"/>
    <w:rsid w:val="728E121C"/>
    <w:rsid w:val="73EA2609"/>
    <w:rsid w:val="77263EC1"/>
    <w:rsid w:val="78CF2D36"/>
    <w:rsid w:val="797532FE"/>
    <w:rsid w:val="79851CEF"/>
    <w:rsid w:val="7AED1CC3"/>
    <w:rsid w:val="7BDC3246"/>
    <w:rsid w:val="7DA0080B"/>
    <w:rsid w:val="7DB6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8.emf"/><Relationship Id="rId34" Type="http://schemas.openxmlformats.org/officeDocument/2006/relationships/oleObject" Target="embeddings/oleObject8.bin"/><Relationship Id="rId33" Type="http://schemas.openxmlformats.org/officeDocument/2006/relationships/image" Target="media/image7.emf"/><Relationship Id="rId32" Type="http://schemas.openxmlformats.org/officeDocument/2006/relationships/oleObject" Target="embeddings/oleObject7.bin"/><Relationship Id="rId31" Type="http://schemas.openxmlformats.org/officeDocument/2006/relationships/image" Target="media/image6.emf"/><Relationship Id="rId30" Type="http://schemas.openxmlformats.org/officeDocument/2006/relationships/oleObject" Target="embeddings/oleObject6.bin"/><Relationship Id="rId3" Type="http://schemas.openxmlformats.org/officeDocument/2006/relationships/footer" Target="footer1.xml"/><Relationship Id="rId29" Type="http://schemas.openxmlformats.org/officeDocument/2006/relationships/image" Target="media/image5.emf"/><Relationship Id="rId28" Type="http://schemas.openxmlformats.org/officeDocument/2006/relationships/oleObject" Target="embeddings/oleObject5.bin"/><Relationship Id="rId27" Type="http://schemas.openxmlformats.org/officeDocument/2006/relationships/image" Target="media/image4.emf"/><Relationship Id="rId26" Type="http://schemas.openxmlformats.org/officeDocument/2006/relationships/oleObject" Target="embeddings/oleObject4.bin"/><Relationship Id="rId25" Type="http://schemas.openxmlformats.org/officeDocument/2006/relationships/image" Target="media/image3.emf"/><Relationship Id="rId24" Type="http://schemas.openxmlformats.org/officeDocument/2006/relationships/oleObject" Target="embeddings/oleObject3.bin"/><Relationship Id="rId23" Type="http://schemas.openxmlformats.org/officeDocument/2006/relationships/image" Target="media/image2.emf"/><Relationship Id="rId22" Type="http://schemas.openxmlformats.org/officeDocument/2006/relationships/oleObject" Target="embeddings/oleObject2.bin"/><Relationship Id="rId21" Type="http://schemas.openxmlformats.org/officeDocument/2006/relationships/chart" Target="charts/chart9.xml"/><Relationship Id="rId20" Type="http://schemas.openxmlformats.org/officeDocument/2006/relationships/chart" Target="charts/chart8.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9.xml"/><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2" Type="http://schemas.openxmlformats.org/officeDocument/2006/relationships/themeOverride" Target="../theme/themeOverrid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2670">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0546737213404"/>
          <c:y val="0.218855218855219"/>
          <c:w val="0.790123456790124"/>
          <c:h val="0.511784511784512"/>
        </c:manualLayout>
      </c:layout>
      <c:barChart>
        <c:barDir val="col"/>
        <c:grouping val="clustered"/>
        <c:varyColors val="0"/>
        <c:ser>
          <c:idx val="0"/>
          <c:order val="0"/>
          <c:tx>
            <c:strRef>
              <c:f>Sheet1!$B$1</c:f>
              <c:strCache>
                <c:ptCount val="1"/>
                <c:pt idx="0">
                  <c:v>人员编制结构分析图</c:v>
                </c:pt>
              </c:strCache>
            </c:strRef>
          </c:tx>
          <c:invertIfNegative val="0"/>
          <c:dLbls>
            <c:delete val="1"/>
          </c:dLbls>
          <c:cat>
            <c:strRef>
              <c:f>Sheet1!$A$2:$A$3</c:f>
              <c:strCache>
                <c:ptCount val="2"/>
                <c:pt idx="0">
                  <c:v>行政编制</c:v>
                </c:pt>
                <c:pt idx="1">
                  <c:v>事业编制</c:v>
                </c:pt>
              </c:strCache>
            </c:strRef>
          </c:cat>
          <c:val>
            <c:numRef>
              <c:f>Sheet1!$B$2:$B$3</c:f>
              <c:numCache>
                <c:formatCode>General</c:formatCode>
                <c:ptCount val="2"/>
                <c:pt idx="0">
                  <c:v>0</c:v>
                </c:pt>
                <c:pt idx="1">
                  <c:v>11</c:v>
                </c:pt>
              </c:numCache>
            </c:numRef>
          </c:val>
        </c:ser>
        <c:dLbls>
          <c:showLegendKey val="0"/>
          <c:showVal val="0"/>
          <c:showCatName val="0"/>
          <c:showSerName val="0"/>
          <c:showPercent val="0"/>
          <c:showBubbleSize val="0"/>
        </c:dLbls>
        <c:gapWidth val="150"/>
        <c:axId val="48850432"/>
        <c:axId val="48854912"/>
      </c:barChart>
      <c:catAx>
        <c:axId val="4885043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854912"/>
        <c:crosses val="autoZero"/>
        <c:auto val="1"/>
        <c:lblAlgn val="ctr"/>
        <c:lblOffset val="100"/>
        <c:noMultiLvlLbl val="0"/>
      </c:catAx>
      <c:valAx>
        <c:axId val="488549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885043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4949">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459016393442623"/>
          <c:y val="0.183800623052959"/>
          <c:w val="0.926229508196721"/>
          <c:h val="0.707165109034266"/>
        </c:manualLayout>
      </c:layout>
      <c:barChart>
        <c:barDir val="col"/>
        <c:grouping val="clustered"/>
        <c:varyColors val="0"/>
        <c:ser>
          <c:idx val="0"/>
          <c:order val="0"/>
          <c:tx>
            <c:strRef>
              <c:f>Sheet1!$B$1</c:f>
              <c:strCache>
                <c:ptCount val="1"/>
                <c:pt idx="0">
                  <c:v>实有人员结构分析图</c:v>
                </c:pt>
              </c:strCache>
            </c:strRef>
          </c:tx>
          <c:spPr>
            <a:solidFill>
              <a:srgbClr val="4F81BD"/>
            </a:solidFill>
            <a:ln w="12474">
              <a:solidFill>
                <a:srgbClr val="000000"/>
              </a:solidFill>
              <a:prstDash val="solid"/>
            </a:ln>
          </c:spPr>
          <c:invertIfNegative val="0"/>
          <c:dLbls>
            <c:delete val="1"/>
          </c:dLbls>
          <c:cat>
            <c:strRef>
              <c:f>Sheet1!$A$2:$A$3</c:f>
              <c:strCache>
                <c:ptCount val="2"/>
                <c:pt idx="0">
                  <c:v>公务员（参公人员）</c:v>
                </c:pt>
                <c:pt idx="1">
                  <c:v>事业人员</c:v>
                </c:pt>
              </c:strCache>
            </c:strRef>
          </c:cat>
          <c:val>
            <c:numRef>
              <c:f>Sheet1!$B$2:$B$3</c:f>
              <c:numCache>
                <c:formatCode>General</c:formatCode>
                <c:ptCount val="2"/>
                <c:pt idx="1">
                  <c:v>7</c:v>
                </c:pt>
              </c:numCache>
            </c:numRef>
          </c:val>
        </c:ser>
        <c:dLbls>
          <c:showLegendKey val="0"/>
          <c:showVal val="0"/>
          <c:showCatName val="0"/>
          <c:showSerName val="0"/>
          <c:showPercent val="0"/>
          <c:showBubbleSize val="0"/>
        </c:dLbls>
        <c:gapWidth val="150"/>
        <c:axId val="49253376"/>
        <c:axId val="110723072"/>
      </c:barChart>
      <c:catAx>
        <c:axId val="49253376"/>
        <c:scaling>
          <c:orientation val="minMax"/>
        </c:scaling>
        <c:delete val="0"/>
        <c:axPos val="b"/>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723072"/>
        <c:crosses val="autoZero"/>
        <c:auto val="1"/>
        <c:lblAlgn val="ctr"/>
        <c:lblOffset val="100"/>
        <c:noMultiLvlLbl val="0"/>
      </c:catAx>
      <c:valAx>
        <c:axId val="110723072"/>
        <c:scaling>
          <c:orientation val="minMax"/>
        </c:scaling>
        <c:delete val="0"/>
        <c:axPos val="l"/>
        <c:majorGridlines/>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253376"/>
        <c:crosses val="autoZero"/>
        <c:crossBetween val="between"/>
      </c:valAx>
    </c:plotArea>
    <c:plotVisOnly val="1"/>
    <c:dispBlanksAs val="gap"/>
    <c:showDLblsOverMax val="0"/>
  </c:chart>
  <c:spPr>
    <a:solidFill>
      <a:srgbClr val="FFFFFF"/>
    </a:solidFill>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185" b="0" i="0" u="none" strike="noStrike" kern="1200" spc="0" baseline="0">
                <a:solidFill>
                  <a:schemeClr val="tx1">
                    <a:lumMod val="65000"/>
                    <a:lumOff val="35000"/>
                  </a:schemeClr>
                </a:solidFill>
                <a:latin typeface="+mn-lt"/>
                <a:ea typeface="+mn-ea"/>
                <a:cs typeface="+mn-cs"/>
              </a:defRPr>
            </a:pPr>
            <a:r>
              <a:rPr altLang="en-US"/>
              <a:t>收入支出决算总体情况上下年比较柱形图</a:t>
            </a:r>
            <a:endParaRPr altLang="en-US"/>
          </a:p>
        </c:rich>
      </c:tx>
      <c:layout/>
      <c:overlay val="0"/>
      <c:spPr>
        <a:noFill/>
        <a:ln w="21532">
          <a:noFill/>
        </a:ln>
      </c:spPr>
    </c:title>
    <c:autoTitleDeleted val="0"/>
    <c:plotArea>
      <c:layout>
        <c:manualLayout>
          <c:layoutTarget val="inner"/>
          <c:xMode val="edge"/>
          <c:yMode val="edge"/>
          <c:x val="0.0959119496855346"/>
          <c:y val="0.221662468513854"/>
          <c:w val="0.578616352201258"/>
          <c:h val="0.468513853904283"/>
        </c:manualLayout>
      </c:layout>
      <c:barChart>
        <c:barDir val="col"/>
        <c:grouping val="clustered"/>
        <c:varyColors val="0"/>
        <c:ser>
          <c:idx val="0"/>
          <c:order val="0"/>
          <c:tx>
            <c:strRef>
              <c:f>Sheet1!$B$1</c:f>
              <c:strCache>
                <c:ptCount val="1"/>
                <c:pt idx="0">
                  <c:v>2020年</c:v>
                </c:pt>
              </c:strCache>
            </c:strRef>
          </c:tx>
          <c:spPr>
            <a:solidFill>
              <a:srgbClr val="5B9BD5"/>
            </a:solidFill>
            <a:ln w="21532">
              <a:noFill/>
            </a:ln>
          </c:spPr>
          <c:invertIfNegative val="0"/>
          <c:dLbls>
            <c:spPr>
              <a:noFill/>
              <a:ln w="21532">
                <a:noFill/>
              </a:ln>
              <a:effectLst/>
            </c:spPr>
            <c:txPr>
              <a:bodyPr rot="0" spcFirstLastPara="0" vertOverflow="ellipsis" vert="horz" wrap="square" lIns="38100" tIns="19050" rIns="38100" bIns="19050" anchor="ctr" anchorCtr="1"/>
              <a:lstStyle/>
              <a:p>
                <a:pPr>
                  <a:defRPr lang="zh-CN" sz="76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10044.23</c:v>
                </c:pt>
                <c:pt idx="1">
                  <c:v>10031.25</c:v>
                </c:pt>
              </c:numCache>
            </c:numRef>
          </c:val>
        </c:ser>
        <c:ser>
          <c:idx val="1"/>
          <c:order val="1"/>
          <c:tx>
            <c:strRef>
              <c:f>Sheet1!$C$1</c:f>
              <c:strCache>
                <c:ptCount val="1"/>
                <c:pt idx="0">
                  <c:v>2019年</c:v>
                </c:pt>
              </c:strCache>
            </c:strRef>
          </c:tx>
          <c:spPr>
            <a:solidFill>
              <a:srgbClr val="ED7D31"/>
            </a:solidFill>
            <a:ln w="21532">
              <a:noFill/>
            </a:ln>
          </c:spPr>
          <c:invertIfNegative val="0"/>
          <c:dLbls>
            <c:spPr>
              <a:noFill/>
              <a:ln w="21532">
                <a:noFill/>
              </a:ln>
              <a:effectLst/>
            </c:spPr>
            <c:txPr>
              <a:bodyPr rot="0" spcFirstLastPara="0" vertOverflow="ellipsis" vert="horz" wrap="square" lIns="38100" tIns="19050" rIns="38100" bIns="19050" anchor="ctr" anchorCtr="1"/>
              <a:lstStyle/>
              <a:p>
                <a:pPr>
                  <a:defRPr lang="zh-CN" sz="76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2434.62</c:v>
                </c:pt>
                <c:pt idx="1">
                  <c:v>2585.77</c:v>
                </c:pt>
              </c:numCache>
            </c:numRef>
          </c:val>
        </c:ser>
        <c:dLbls>
          <c:showLegendKey val="0"/>
          <c:showVal val="1"/>
          <c:showCatName val="0"/>
          <c:showSerName val="0"/>
          <c:showPercent val="0"/>
          <c:showBubbleSize val="0"/>
        </c:dLbls>
        <c:gapWidth val="219"/>
        <c:overlap val="-27"/>
        <c:axId val="256684800"/>
        <c:axId val="256687104"/>
      </c:barChart>
      <c:catAx>
        <c:axId val="256684800"/>
        <c:scaling>
          <c:orientation val="minMax"/>
        </c:scaling>
        <c:delete val="0"/>
        <c:axPos val="b"/>
        <c:numFmt formatCode="General" sourceLinked="1"/>
        <c:majorTickMark val="none"/>
        <c:minorTickMark val="none"/>
        <c:tickLblPos val="nextTo"/>
        <c:spPr>
          <a:noFill/>
          <a:ln w="8074"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765" b="0" i="0" u="none" strike="noStrike" kern="1200" baseline="0">
                <a:solidFill>
                  <a:schemeClr val="tx1">
                    <a:lumMod val="65000"/>
                    <a:lumOff val="35000"/>
                  </a:schemeClr>
                </a:solidFill>
                <a:latin typeface="+mn-lt"/>
                <a:ea typeface="+mn-ea"/>
                <a:cs typeface="+mn-cs"/>
              </a:defRPr>
            </a:pPr>
          </a:p>
        </c:txPr>
        <c:crossAx val="256687104"/>
        <c:crosses val="autoZero"/>
        <c:auto val="1"/>
        <c:lblAlgn val="ctr"/>
        <c:lblOffset val="100"/>
        <c:noMultiLvlLbl val="0"/>
      </c:catAx>
      <c:valAx>
        <c:axId val="256687104"/>
        <c:scaling>
          <c:orientation val="minMax"/>
        </c:scaling>
        <c:delete val="0"/>
        <c:axPos val="l"/>
        <c:majorGridlines>
          <c:spPr>
            <a:ln w="8074"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5383" cap="flat" cmpd="sng" algn="ctr">
            <a:noFill/>
            <a:prstDash val="solid"/>
            <a:round/>
          </a:ln>
        </c:spPr>
        <c:txPr>
          <a:bodyPr rot="-60000000" spcFirstLastPara="0" vertOverflow="ellipsis" vert="horz" wrap="square" anchor="ctr" anchorCtr="1"/>
          <a:lstStyle/>
          <a:p>
            <a:pPr>
              <a:defRPr lang="zh-CN" sz="765" b="0" i="0" u="none" strike="noStrike" kern="1200" baseline="0">
                <a:solidFill>
                  <a:schemeClr val="tx1">
                    <a:lumMod val="65000"/>
                    <a:lumOff val="35000"/>
                  </a:schemeClr>
                </a:solidFill>
                <a:latin typeface="+mn-lt"/>
                <a:ea typeface="+mn-ea"/>
                <a:cs typeface="+mn-cs"/>
              </a:defRPr>
            </a:pPr>
          </a:p>
        </c:txPr>
        <c:crossAx val="256684800"/>
        <c:crosses val="autoZero"/>
        <c:crossBetween val="between"/>
      </c:valAx>
      <c:spPr>
        <a:noFill/>
        <a:ln w="21532">
          <a:noFill/>
        </a:ln>
      </c:spPr>
    </c:plotArea>
    <c:legend>
      <c:legendPos val="r"/>
      <c:layout>
        <c:manualLayout>
          <c:xMode val="edge"/>
          <c:yMode val="edge"/>
          <c:x val="0.37777781020492"/>
          <c:y val="0.888889128723226"/>
          <c:w val="0.240403957862228"/>
          <c:h val="0.0788533028695771"/>
        </c:manualLayout>
      </c:layout>
      <c:overlay val="0"/>
      <c:spPr>
        <a:noFill/>
        <a:ln w="21532">
          <a:noFill/>
        </a:ln>
      </c:spPr>
      <c:txPr>
        <a:bodyPr rot="0" spcFirstLastPara="0" vertOverflow="ellipsis" vert="horz" wrap="square" anchor="ctr" anchorCtr="1"/>
        <a:lstStyle/>
        <a:p>
          <a:pPr>
            <a:defRPr lang="zh-CN" sz="765"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8074"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5" b="1" i="0" u="none" strike="noStrike" kern="1200" cap="all" baseline="0">
                <a:solidFill>
                  <a:schemeClr val="tx1">
                    <a:lumMod val="65000"/>
                    <a:lumOff val="35000"/>
                  </a:schemeClr>
                </a:solidFill>
                <a:latin typeface="+mn-lt"/>
                <a:ea typeface="+mn-ea"/>
                <a:cs typeface="+mn-cs"/>
              </a:defRPr>
            </a:pPr>
            <a:r>
              <a:rPr sz="1400" b="0">
                <a:latin typeface="新宋体" panose="02010609030101010101" charset="-122"/>
                <a:ea typeface="新宋体" panose="02010609030101010101" charset="-122"/>
                <a:cs typeface="新宋体" panose="02010609030101010101" charset="-122"/>
              </a:rPr>
              <a:t>20</a:t>
            </a:r>
            <a:r>
              <a:rPr lang="en-US" sz="1400" b="0">
                <a:latin typeface="新宋体" panose="02010609030101010101" charset="-122"/>
                <a:ea typeface="新宋体" panose="02010609030101010101" charset="-122"/>
                <a:cs typeface="新宋体" panose="02010609030101010101" charset="-122"/>
              </a:rPr>
              <a:t>20</a:t>
            </a:r>
            <a:r>
              <a:rPr sz="1400" b="0">
                <a:latin typeface="新宋体" panose="02010609030101010101" charset="-122"/>
                <a:ea typeface="新宋体" panose="02010609030101010101" charset="-122"/>
                <a:cs typeface="新宋体" panose="02010609030101010101" charset="-122"/>
              </a:rPr>
              <a:t>年收入构成情况</a:t>
            </a:r>
            <a:endParaRPr sz="1400" b="0">
              <a:latin typeface="新宋体" panose="02010609030101010101" charset="-122"/>
              <a:ea typeface="新宋体" panose="02010609030101010101" charset="-122"/>
              <a:cs typeface="新宋体" panose="02010609030101010101" charset="-122"/>
            </a:endParaRPr>
          </a:p>
        </c:rich>
      </c:tx>
      <c:layout/>
      <c:overlay val="0"/>
      <c:spPr>
        <a:noFill/>
        <a:ln w="25442">
          <a:noFill/>
        </a:ln>
      </c:spPr>
    </c:title>
    <c:autoTitleDeleted val="0"/>
    <c:plotArea>
      <c:layout>
        <c:manualLayout>
          <c:layoutTarget val="inner"/>
          <c:xMode val="edge"/>
          <c:yMode val="edge"/>
          <c:x val="0.263157894736842"/>
          <c:y val="0.201465201465202"/>
          <c:w val="0.166118421052632"/>
          <c:h val="0.369963369963371"/>
        </c:manualLayout>
      </c:layout>
      <c:pieChart>
        <c:varyColors val="1"/>
        <c:ser>
          <c:idx val="0"/>
          <c:order val="0"/>
          <c:tx>
            <c:strRef>
              <c:f>Sheet1!$B$1</c:f>
              <c:strCache>
                <c:ptCount val="1"/>
                <c:pt idx="0">
                  <c:v>系列 1</c:v>
                </c:pt>
              </c:strCache>
            </c:strRef>
          </c:tx>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rgbClr val="FF9900"/>
              </a:solidFill>
              <a:ln w="25442">
                <a:noFill/>
              </a:ln>
              <a:effectLst>
                <a:outerShdw dist="35921" dir="2700000" algn="br">
                  <a:srgbClr val="000000"/>
                </a:outerShdw>
              </a:effectLst>
            </c:spPr>
          </c:dPt>
          <c:dPt>
            <c:idx val="3"/>
            <c:bubble3D val="0"/>
          </c:dPt>
          <c:dPt>
            <c:idx val="4"/>
            <c:bubble3D val="0"/>
          </c:dPt>
          <c:dLbls>
            <c:dLbl>
              <c:idx val="0"/>
              <c:layout>
                <c:manualLayout>
                  <c:x val="0.110451016944436"/>
                  <c:y val="0.113709670906522"/>
                </c:manualLayout>
              </c:layout>
              <c:tx>
                <c:rich>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r>
                      <a:rPr altLang="en-US"/>
                      <a:t>财政拨款</a:t>
                    </a:r>
                    <a:r>
                      <a:rPr lang="en-US" altLang="en-US"/>
                      <a:t>2491.00</a:t>
                    </a:r>
                    <a:r>
                      <a:rPr lang="zh-CN" altLang="en-US"/>
                      <a:t>，</a:t>
                    </a:r>
                    <a:r>
                      <a:rPr lang="en-US" altLang="en-US"/>
                      <a:t>24.80</a:t>
                    </a:r>
                    <a:r>
                      <a:rPr altLang="en-US"/>
                      <a:t>%</a:t>
                    </a:r>
                    <a:endParaRPr altLang="en-US"/>
                  </a:p>
                </c:rich>
              </c:tx>
              <c:dLblPos val="bestFit"/>
              <c:showLegendKey val="0"/>
              <c:showVal val="1"/>
              <c:showCatName val="1"/>
              <c:showSerName val="1"/>
              <c:showPercent val="1"/>
              <c:showBubbleSize val="0"/>
              <c:extLst>
                <c:ext xmlns:c15="http://schemas.microsoft.com/office/drawing/2012/chart" uri="{CE6537A1-D6FC-4f65-9D91-7224C49458BB}">
                  <c15:layout/>
                </c:ext>
              </c:extLst>
            </c:dLbl>
            <c:dLbl>
              <c:idx val="1"/>
              <c:delete val="1"/>
            </c:dLbl>
            <c:dLbl>
              <c:idx val="2"/>
              <c:layout>
                <c:manualLayout>
                  <c:x val="0.0353201413227285"/>
                  <c:y val="-0.00606143080212473"/>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b="1" i="0" strike="noStrike">
                        <a:solidFill>
                          <a:srgbClr val="FFCC99"/>
                        </a:solidFill>
                        <a:latin typeface="宋体" panose="02010600030101010101" charset="-122"/>
                        <a:ea typeface="宋体" panose="02010600030101010101" charset="-122"/>
                      </a:rPr>
                      <a:t>政府性基金</a:t>
                    </a:r>
                    <a:r>
                      <a:rPr lang="en-US" altLang="zh-CN" sz="1000" b="1" i="0" strike="noStrike">
                        <a:solidFill>
                          <a:srgbClr val="FFCC99"/>
                        </a:solidFill>
                        <a:latin typeface="宋体" panose="02010600030101010101" charset="-122"/>
                        <a:ea typeface="宋体" panose="02010600030101010101" charset="-122"/>
                      </a:rPr>
                      <a:t>1361.00, 13.55%</a:t>
                    </a:r>
                    <a:endParaRPr lang="en-US" altLang="zh-CN" sz="1000" b="1" i="0" strike="noStrike">
                      <a:solidFill>
                        <a:srgbClr val="FFCC99"/>
                      </a:solidFill>
                      <a:latin typeface="宋体" panose="02010600030101010101" charset="-122"/>
                      <a:ea typeface="宋体" panose="02010600030101010101" charset="-122"/>
                    </a:endParaRPr>
                  </a:p>
                </c:rich>
              </c:tx>
              <c:numFmt formatCode="General" sourceLinked="1"/>
              <c:spPr>
                <a:noFill/>
                <a:ln w="25442">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1"/>
              <c:showPercent val="1"/>
              <c:showBubbleSize val="0"/>
              <c:extLst>
                <c:ext xmlns:c15="http://schemas.microsoft.com/office/drawing/2012/chart" uri="{CE6537A1-D6FC-4f65-9D91-7224C49458BB}">
                  <c15:layout/>
                </c:ext>
              </c:extLst>
            </c:dLbl>
            <c:dLbl>
              <c:idx val="3"/>
              <c:delete val="1"/>
            </c:dLbl>
            <c:dLbl>
              <c:idx val="4"/>
              <c:layout>
                <c:manualLayout>
                  <c:x val="-0.0614476697751078"/>
                  <c:y val="0.156225613773687"/>
                </c:manualLayout>
              </c:layout>
              <c:tx>
                <c:rich>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r>
                      <a:rPr altLang="en-US"/>
                      <a:t>其他收入
6192.23</a:t>
                    </a:r>
                    <a:r>
                      <a:rPr lang="zh-CN" altLang="en-US"/>
                      <a:t>，  </a:t>
                    </a:r>
                    <a:r>
                      <a:rPr altLang="en-US"/>
                      <a:t>
6</a:t>
                    </a:r>
                    <a:r>
                      <a:rPr lang="en-US" altLang="en-US"/>
                      <a:t>1.65</a:t>
                    </a:r>
                    <a:r>
                      <a:rPr altLang="en-US"/>
                      <a:t>%</a:t>
                    </a:r>
                    <a:endParaRPr altLang="en-US"/>
                  </a:p>
                </c:rich>
              </c:tx>
              <c:dLblPos val="bestFit"/>
              <c:showLegendKey val="0"/>
              <c:showVal val="1"/>
              <c:showCatName val="1"/>
              <c:showSerName val="1"/>
              <c:showPercent val="1"/>
              <c:showBubbleSize val="0"/>
              <c:extLst>
                <c:ext xmlns:c15="http://schemas.microsoft.com/office/drawing/2012/chart" uri="{CE6537A1-D6FC-4f65-9D91-7224C49458BB}">
                  <c15:layout/>
                </c:ext>
              </c:extLst>
            </c:dLbl>
            <c:spPr>
              <a:noFill/>
              <a:ln w="25442">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一般公共预算财政拨款</c:v>
                </c:pt>
                <c:pt idx="2">
                  <c:v>政府性基金预算财政拨款</c:v>
                </c:pt>
                <c:pt idx="4">
                  <c:v>其他收入</c:v>
                </c:pt>
              </c:strCache>
            </c:strRef>
          </c:cat>
          <c:val>
            <c:numRef>
              <c:f>Sheet1!$B$2:$B$6</c:f>
              <c:numCache>
                <c:formatCode>General</c:formatCode>
                <c:ptCount val="5"/>
                <c:pt idx="0">
                  <c:v>2491</c:v>
                </c:pt>
                <c:pt idx="2">
                  <c:v>1361</c:v>
                </c:pt>
                <c:pt idx="4">
                  <c:v>6192.23</c:v>
                </c:pt>
              </c:numCache>
            </c:numRef>
          </c:val>
        </c:ser>
        <c:dLbls>
          <c:showLegendKey val="0"/>
          <c:showVal val="0"/>
          <c:showCatName val="1"/>
          <c:showSerName val="0"/>
          <c:showPercent val="0"/>
          <c:showBubbleSize val="0"/>
          <c:showLeaderLines val="1"/>
        </c:dLbls>
        <c:firstSliceAng val="0"/>
      </c:pieChart>
      <c:spPr>
        <a:noFill/>
        <a:ln w="25442">
          <a:noFill/>
        </a:ln>
      </c:spPr>
    </c:plotArea>
    <c:plotVisOnly val="1"/>
    <c:dispBlanksAs val="zero"/>
    <c:showDLblsOverMax val="0"/>
  </c:chart>
  <c:spPr>
    <a:solidFill>
      <a:schemeClr val="bg1"/>
    </a:solidFill>
    <a:ln w="9541"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5" b="1" i="0" u="none" strike="noStrike" kern="1200" cap="all" baseline="0">
                <a:solidFill>
                  <a:schemeClr val="tx1">
                    <a:lumMod val="65000"/>
                    <a:lumOff val="35000"/>
                  </a:schemeClr>
                </a:solidFill>
                <a:latin typeface="+mn-lt"/>
                <a:ea typeface="+mn-ea"/>
                <a:cs typeface="+mn-cs"/>
              </a:defRPr>
            </a:pPr>
            <a:r>
              <a:rPr lang="en-US" altLang="zh-CN" sz="1405" b="0">
                <a:latin typeface="新宋体" panose="02010609030101010101" charset="-122"/>
                <a:ea typeface="新宋体" panose="02010609030101010101" charset="-122"/>
                <a:cs typeface="新宋体" panose="02010609030101010101" charset="-122"/>
              </a:rPr>
              <a:t>2020</a:t>
            </a:r>
            <a:r>
              <a:rPr altLang="en-US" sz="1405" b="0">
                <a:latin typeface="新宋体" panose="02010609030101010101" charset="-122"/>
                <a:ea typeface="新宋体" panose="02010609030101010101" charset="-122"/>
                <a:cs typeface="新宋体" panose="02010609030101010101" charset="-122"/>
              </a:rPr>
              <a:t>年支出构成情况</a:t>
            </a:r>
            <a:endParaRPr altLang="en-US" sz="1405" b="0">
              <a:latin typeface="新宋体" panose="02010609030101010101" charset="-122"/>
              <a:ea typeface="新宋体" panose="02010609030101010101" charset="-122"/>
              <a:cs typeface="新宋体" panose="02010609030101010101" charset="-122"/>
            </a:endParaRPr>
          </a:p>
        </c:rich>
      </c:tx>
      <c:layout/>
      <c:overlay val="0"/>
      <c:spPr>
        <a:noFill/>
        <a:ln w="25455">
          <a:noFill/>
        </a:ln>
      </c:spPr>
    </c:title>
    <c:autoTitleDeleted val="0"/>
    <c:plotArea>
      <c:layout>
        <c:manualLayout>
          <c:layoutTarget val="inner"/>
          <c:xMode val="edge"/>
          <c:yMode val="edge"/>
          <c:x val="0.300202839756592"/>
          <c:y val="0.255639097744361"/>
          <c:w val="0.217038539553753"/>
          <c:h val="0.402255639097744"/>
        </c:manualLayout>
      </c:layout>
      <c:pieChart>
        <c:varyColors val="1"/>
        <c:ser>
          <c:idx val="0"/>
          <c:order val="0"/>
          <c:tx>
            <c:strRef>
              <c:f>Sheet1!$B$1</c:f>
              <c:strCache>
                <c:ptCount val="1"/>
                <c:pt idx="0">
                  <c:v>系列 1</c:v>
                </c:pt>
              </c:strCache>
            </c:strRef>
          </c:tx>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manualLayout>
                  <c:x val="0.197764645616481"/>
                  <c:y val="0.00973677203393053"/>
                </c:manualLayout>
              </c:layout>
              <c:tx>
                <c:rich>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r>
                      <a:rPr altLang="en-US"/>
                      <a:t>基本支出</a:t>
                    </a:r>
                    <a:r>
                      <a:rPr lang="en-US" altLang="en-US"/>
                      <a:t>96.28</a:t>
                    </a:r>
                    <a:r>
                      <a:rPr altLang="en-US"/>
                      <a:t>, </a:t>
                    </a:r>
                    <a:r>
                      <a:rPr lang="en-US" altLang="en-US"/>
                      <a:t>0.96</a:t>
                    </a:r>
                    <a:r>
                      <a:rPr altLang="en-US"/>
                      <a:t>%</a:t>
                    </a:r>
                    <a:endParaRPr altLang="en-US"/>
                  </a:p>
                </c:rich>
              </c:tx>
              <c:dLblPos val="bestFit"/>
              <c:showLegendKey val="0"/>
              <c:showVal val="0"/>
              <c:showCatName val="1"/>
              <c:showSerName val="1"/>
              <c:showPercent val="1"/>
              <c:showBubbleSize val="0"/>
              <c:extLst>
                <c:ext xmlns:c15="http://schemas.microsoft.com/office/drawing/2012/chart" uri="{CE6537A1-D6FC-4f65-9D91-7224C49458BB}">
                  <c15:layout/>
                </c:ext>
              </c:extLst>
            </c:dLbl>
            <c:dLbl>
              <c:idx val="1"/>
              <c:layout>
                <c:manualLayout>
                  <c:x val="-0.225943179399872"/>
                  <c:y val="-0.0962152205533591"/>
                </c:manualLayout>
              </c:layout>
              <c:tx>
                <c:rich>
                  <a:bodyPr rot="0" spcFirstLastPara="0" vertOverflow="ellipsis" vert="horz" wrap="square" lIns="38100" tIns="19050" rIns="38100" bIns="19050" anchor="ctr" anchorCtr="1"/>
                  <a:lstStyle/>
                  <a:p>
                    <a:pPr>
                      <a:defRPr lang="zh-CN" sz="1005" b="1" i="0" u="none" strike="noStrike" kern="1200" spc="0" baseline="0">
                        <a:solidFill>
                          <a:schemeClr val="accent2"/>
                        </a:solidFill>
                        <a:latin typeface="+mn-lt"/>
                        <a:ea typeface="+mn-ea"/>
                        <a:cs typeface="+mn-cs"/>
                      </a:defRPr>
                    </a:pPr>
                    <a:r>
                      <a:rPr altLang="en-US"/>
                      <a:t>项目支出, </a:t>
                    </a:r>
                    <a:r>
                      <a:rPr lang="en-US" altLang="en-US"/>
                      <a:t>9934.98</a:t>
                    </a:r>
                    <a:r>
                      <a:rPr altLang="en-US"/>
                      <a:t>,</a:t>
                    </a:r>
                    <a:endParaRPr lang="en-US" altLang="en-US"/>
                  </a:p>
                  <a:p>
                    <a:pPr>
                      <a:defRPr lang="zh-CN" sz="1005" b="1" i="0" u="none" strike="noStrike" kern="1200" spc="0" baseline="0">
                        <a:solidFill>
                          <a:schemeClr val="accent2"/>
                        </a:solidFill>
                        <a:latin typeface="+mn-lt"/>
                        <a:ea typeface="+mn-ea"/>
                        <a:cs typeface="+mn-cs"/>
                      </a:defRPr>
                    </a:pPr>
                    <a:r>
                      <a:rPr altLang="en-US"/>
                      <a:t> </a:t>
                    </a:r>
                    <a:r>
                      <a:rPr lang="en-US" altLang="en-US"/>
                      <a:t>99.04</a:t>
                    </a:r>
                    <a:r>
                      <a:rPr altLang="en-US"/>
                      <a:t>%</a:t>
                    </a:r>
                    <a:endParaRPr altLang="en-US"/>
                  </a:p>
                </c:rich>
              </c:tx>
              <c:numFmt formatCode="General" sourceLinked="1"/>
              <c:spPr>
                <a:noFill/>
                <a:ln w="25455">
                  <a:noFill/>
                </a:ln>
                <a:effectLst/>
              </c:spPr>
              <c:txPr>
                <a:bodyPr rot="0" spcFirstLastPara="0" vertOverflow="ellipsis" vert="horz" wrap="square" lIns="38100" tIns="19050" rIns="38100" bIns="19050" anchor="ctr" anchorCtr="1"/>
                <a:lstStyle/>
                <a:p>
                  <a:pPr>
                    <a:defRPr lang="zh-CN" sz="1005" b="1" i="0" u="none" strike="noStrike" kern="1200" spc="0" baseline="0">
                      <a:solidFill>
                        <a:schemeClr val="accent2"/>
                      </a:solidFill>
                      <a:latin typeface="+mn-lt"/>
                      <a:ea typeface="+mn-ea"/>
                      <a:cs typeface="+mn-cs"/>
                    </a:defRPr>
                  </a:pPr>
                </a:p>
              </c:txPr>
              <c:dLblPos val="bestFit"/>
              <c:showLegendKey val="0"/>
              <c:showVal val="0"/>
              <c:showCatName val="1"/>
              <c:showSerName val="1"/>
              <c:showPercent val="1"/>
              <c:showBubbleSize val="0"/>
              <c:extLst>
                <c:ext xmlns:c15="http://schemas.microsoft.com/office/drawing/2012/chart" uri="{CE6537A1-D6FC-4f65-9D91-7224C49458BB}">
                  <c15:layout/>
                </c:ext>
              </c:extLst>
            </c:dLbl>
            <c:spPr>
              <a:noFill/>
              <a:ln w="25455">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96.28</c:v>
                </c:pt>
                <c:pt idx="1">
                  <c:v>9934.98</c:v>
                </c:pt>
              </c:numCache>
            </c:numRef>
          </c:val>
        </c:ser>
        <c:ser>
          <c:idx val="1"/>
          <c:order val="1"/>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numFmt formatCode="General" sourceLinked="1"/>
              <c:spPr>
                <a:noFill/>
                <a:ln w="25455">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w="25455">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{0}</c:f>
              <c:numCache>
                <c:formatCode>General</c:formatCode>
                <c:ptCount val="1"/>
                <c:pt idx="0">
                  <c:v>0</c:v>
                </c:pt>
              </c:numCache>
            </c:numRef>
          </c:val>
        </c:ser>
        <c:ser>
          <c:idx val="2"/>
          <c:order val="2"/>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numFmt formatCode="General" sourceLinked="1"/>
              <c:spPr>
                <a:noFill/>
                <a:ln w="25455">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w="25455">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{0}</c:f>
              <c:numCache>
                <c:formatCode>General</c:formatCode>
                <c:ptCount val="1"/>
                <c:pt idx="0">
                  <c:v>0</c:v>
                </c:pt>
              </c:numCache>
            </c:numRef>
          </c:val>
        </c:ser>
        <c:dLbls>
          <c:showLegendKey val="0"/>
          <c:showVal val="0"/>
          <c:showCatName val="1"/>
          <c:showSerName val="0"/>
          <c:showPercent val="0"/>
          <c:showBubbleSize val="0"/>
          <c:showLeaderLines val="1"/>
        </c:dLbls>
        <c:firstSliceAng val="0"/>
      </c:pieChart>
      <c:spPr>
        <a:noFill/>
        <a:ln w="25455">
          <a:noFill/>
        </a:ln>
      </c:spPr>
    </c:plotArea>
    <c:plotVisOnly val="1"/>
    <c:dispBlanksAs val="zero"/>
    <c:showDLblsOverMax val="0"/>
  </c:chart>
  <c:spPr>
    <a:solidFill>
      <a:schemeClr val="bg1"/>
    </a:solidFill>
    <a:ln w="9546"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财政拨款支出</a:t>
            </a:r>
            <a:r>
              <a:rPr altLang="en-US"/>
              <a:t>上下年比较柱形图</a:t>
            </a:r>
            <a:endParaRPr altLang="en-US"/>
          </a:p>
        </c:rich>
      </c:tx>
      <c:layout/>
      <c:overlay val="0"/>
      <c:spPr>
        <a:noFill/>
        <a:ln w="25422">
          <a:noFill/>
        </a:ln>
      </c:spPr>
    </c:title>
    <c:autoTitleDeleted val="0"/>
    <c:plotArea>
      <c:layout>
        <c:manualLayout>
          <c:layoutTarget val="inner"/>
          <c:xMode val="edge"/>
          <c:yMode val="edge"/>
          <c:x val="0.0957446808510638"/>
          <c:y val="0.235099337748345"/>
          <c:w val="0.586879432624117"/>
          <c:h val="0.437086092715233"/>
        </c:manualLayout>
      </c:layout>
      <c:barChart>
        <c:barDir val="col"/>
        <c:grouping val="clustered"/>
        <c:varyColors val="0"/>
        <c:ser>
          <c:idx val="0"/>
          <c:order val="0"/>
          <c:tx>
            <c:strRef>
              <c:f>Sheet1!$B$1</c:f>
              <c:strCache>
                <c:ptCount val="1"/>
                <c:pt idx="0">
                  <c:v>2020年</c:v>
                </c:pt>
              </c:strCache>
            </c:strRef>
          </c:tx>
          <c:spPr>
            <a:solidFill>
              <a:srgbClr val="5B9BD5"/>
            </a:solidFill>
            <a:ln w="25422">
              <a:noFill/>
            </a:ln>
          </c:spPr>
          <c:invertIfNegative val="0"/>
          <c:dLbls>
            <c:spPr>
              <a:noFill/>
              <a:ln w="25422">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1"/>
                <c:pt idx="0">
                  <c:v>财政拨款</c:v>
                </c:pt>
              </c:strCache>
            </c:strRef>
          </c:cat>
          <c:val>
            <c:numRef>
              <c:f>Sheet1!$B$2:$B$3</c:f>
              <c:numCache>
                <c:formatCode>General</c:formatCode>
                <c:ptCount val="2"/>
                <c:pt idx="0">
                  <c:v>2491</c:v>
                </c:pt>
              </c:numCache>
            </c:numRef>
          </c:val>
        </c:ser>
        <c:ser>
          <c:idx val="1"/>
          <c:order val="1"/>
          <c:tx>
            <c:strRef>
              <c:f>Sheet1!$C$1</c:f>
              <c:strCache>
                <c:ptCount val="1"/>
                <c:pt idx="0">
                  <c:v>2019年</c:v>
                </c:pt>
              </c:strCache>
            </c:strRef>
          </c:tx>
          <c:spPr>
            <a:solidFill>
              <a:srgbClr val="ED7D31"/>
            </a:solidFill>
            <a:ln w="25422">
              <a:noFill/>
            </a:ln>
          </c:spPr>
          <c:invertIfNegative val="0"/>
          <c:dLbls>
            <c:spPr>
              <a:noFill/>
              <a:ln w="25422">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1"/>
                <c:pt idx="0">
                  <c:v>财政拨款</c:v>
                </c:pt>
              </c:strCache>
            </c:strRef>
          </c:cat>
          <c:val>
            <c:numRef>
              <c:f>Sheet1!$C$2:$C$3</c:f>
              <c:numCache>
                <c:formatCode>General</c:formatCode>
                <c:ptCount val="2"/>
                <c:pt idx="0">
                  <c:v>183.6</c:v>
                </c:pt>
              </c:numCache>
            </c:numRef>
          </c:val>
        </c:ser>
        <c:dLbls>
          <c:showLegendKey val="0"/>
          <c:showVal val="1"/>
          <c:showCatName val="0"/>
          <c:showSerName val="0"/>
          <c:showPercent val="0"/>
          <c:showBubbleSize val="0"/>
        </c:dLbls>
        <c:gapWidth val="219"/>
        <c:overlap val="-27"/>
        <c:axId val="49342720"/>
        <c:axId val="108208128"/>
      </c:barChart>
      <c:catAx>
        <c:axId val="49342720"/>
        <c:scaling>
          <c:orientation val="minMax"/>
        </c:scaling>
        <c:delete val="0"/>
        <c:axPos val="b"/>
        <c:numFmt formatCode="General" sourceLinked="1"/>
        <c:majorTickMark val="none"/>
        <c:minorTickMark val="none"/>
        <c:tickLblPos val="nextTo"/>
        <c:spPr>
          <a:noFill/>
          <a:ln w="9533"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8208128"/>
        <c:crosses val="autoZero"/>
        <c:auto val="1"/>
        <c:lblAlgn val="ctr"/>
        <c:lblOffset val="100"/>
        <c:noMultiLvlLbl val="0"/>
      </c:catAx>
      <c:valAx>
        <c:axId val="108208128"/>
        <c:scaling>
          <c:orientation val="minMax"/>
        </c:scaling>
        <c:delete val="0"/>
        <c:axPos val="l"/>
        <c:majorGridlines>
          <c:spPr>
            <a:ln w="9533"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356"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342720"/>
        <c:crosses val="autoZero"/>
        <c:crossBetween val="between"/>
      </c:valAx>
      <c:spPr>
        <a:noFill/>
        <a:ln w="25422">
          <a:noFill/>
        </a:ln>
      </c:spPr>
    </c:plotArea>
    <c:legend>
      <c:legendPos val="r"/>
      <c:layout>
        <c:manualLayout>
          <c:xMode val="edge"/>
          <c:yMode val="edge"/>
          <c:x val="0.22415890167051"/>
          <c:y val="0.787231739678949"/>
          <c:w val="0.285307967265685"/>
          <c:h val="0.0965324748771048"/>
        </c:manualLayout>
      </c:layout>
      <c:overlay val="0"/>
      <c:spPr>
        <a:noFill/>
        <a:ln w="25422">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33"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590" b="1" i="0" u="none" strike="noStrike" kern="1200" cap="all" baseline="0">
                <a:solidFill>
                  <a:schemeClr val="tx1">
                    <a:lumMod val="65000"/>
                    <a:lumOff val="35000"/>
                  </a:schemeClr>
                </a:solidFill>
                <a:latin typeface="+mn-lt"/>
                <a:ea typeface="+mn-ea"/>
                <a:cs typeface="+mn-cs"/>
              </a:defRPr>
            </a:pPr>
            <a:r>
              <a:rPr lang="en-US" altLang="zh-CN" sz="1390" b="0">
                <a:latin typeface="新宋体" panose="02010609030101010101" charset="-122"/>
                <a:ea typeface="新宋体" panose="02010609030101010101" charset="-122"/>
                <a:cs typeface="新宋体" panose="02010609030101010101" charset="-122"/>
              </a:rPr>
              <a:t>2019</a:t>
            </a:r>
            <a:r>
              <a:rPr altLang="en-US" sz="1390" b="0">
                <a:latin typeface="新宋体" panose="02010609030101010101" charset="-122"/>
                <a:ea typeface="新宋体" panose="02010609030101010101" charset="-122"/>
                <a:cs typeface="新宋体" panose="02010609030101010101" charset="-122"/>
              </a:rPr>
              <a:t>年三公经费财政拨款支出情况</a:t>
            </a:r>
            <a:endParaRPr altLang="en-US" sz="1390" b="0">
              <a:latin typeface="新宋体" panose="02010609030101010101" charset="-122"/>
              <a:ea typeface="新宋体" panose="02010609030101010101" charset="-122"/>
              <a:cs typeface="新宋体" panose="02010609030101010101" charset="-122"/>
            </a:endParaRPr>
          </a:p>
        </c:rich>
      </c:tx>
      <c:layout>
        <c:manualLayout>
          <c:xMode val="edge"/>
          <c:yMode val="edge"/>
          <c:x val="0.255033033290237"/>
          <c:y val="0.0216757727669006"/>
        </c:manualLayout>
      </c:layout>
      <c:overlay val="0"/>
      <c:spPr>
        <a:noFill/>
        <a:ln w="25231">
          <a:noFill/>
        </a:ln>
      </c:spPr>
    </c:title>
    <c:autoTitleDeleted val="0"/>
    <c:plotArea>
      <c:layout>
        <c:manualLayout>
          <c:layoutTarget val="inner"/>
          <c:xMode val="edge"/>
          <c:yMode val="edge"/>
          <c:x val="0.234401349072513"/>
          <c:y val="0.162337662337662"/>
          <c:w val="0.222596964586847"/>
          <c:h val="0.428571428571429"/>
        </c:manualLayout>
      </c:layout>
      <c:pieChart>
        <c:varyColors val="1"/>
        <c:ser>
          <c:idx val="0"/>
          <c:order val="0"/>
          <c:tx>
            <c:strRef>
              <c:f>Sheet1!$B$1</c:f>
              <c:strCache>
                <c:ptCount val="1"/>
                <c:pt idx="0">
                  <c:v>列1</c:v>
                </c:pt>
              </c:strCache>
            </c:strRef>
          </c:tx>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237959315274592"/>
                  <c:y val="0.577489692914037"/>
                </c:manualLayout>
              </c:layout>
              <c:tx>
                <c:rich>
                  <a:bodyPr rot="0" spcFirstLastPara="0" vertOverflow="ellipsis" vert="horz" wrap="square" lIns="38100" tIns="19050" rIns="38100" bIns="19050" anchor="ctr" anchorCtr="1"/>
                  <a:lstStyle/>
                  <a:p>
                    <a:pPr>
                      <a:defRPr lang="zh-CN" sz="995" b="1" i="0" u="none" strike="noStrike" kern="1200" spc="0" baseline="0">
                        <a:solidFill>
                          <a:schemeClr val="accent1"/>
                        </a:solidFill>
                        <a:latin typeface="+mn-lt"/>
                        <a:ea typeface="+mn-ea"/>
                        <a:cs typeface="+mn-cs"/>
                      </a:defRPr>
                    </a:pPr>
                    <a:r>
                      <a:rPr altLang="en-US"/>
                      <a:t>因公出国（境）费
0</a:t>
                    </a:r>
                    <a:r>
                      <a:rPr lang="zh-CN" altLang="en-US"/>
                      <a:t>，</a:t>
                    </a:r>
                    <a:r>
                      <a:rPr altLang="en-US"/>
                      <a:t>0%</a:t>
                    </a:r>
                    <a:endParaRPr altLang="en-US"/>
                  </a:p>
                </c:rich>
              </c:tx>
              <c:dLblPos val="bestFit"/>
              <c:showLegendKey val="0"/>
              <c:showVal val="1"/>
              <c:showCatName val="1"/>
              <c:showSerName val="1"/>
              <c:showPercent val="1"/>
              <c:showBubbleSize val="0"/>
              <c:extLst>
                <c:ext xmlns:c15="http://schemas.microsoft.com/office/drawing/2012/chart" uri="{CE6537A1-D6FC-4f65-9D91-7224C49458BB}">
                  <c15:layout/>
                </c:ext>
              </c:extLst>
            </c:dLbl>
            <c:dLbl>
              <c:idx val="1"/>
              <c:layout>
                <c:manualLayout>
                  <c:x val="0.238138045778368"/>
                  <c:y val="0.122686580614418"/>
                </c:manualLayout>
              </c:layout>
              <c:tx>
                <c:rich>
                  <a:bodyPr rot="0" spcFirstLastPara="0" vertOverflow="ellipsis" vert="horz" wrap="square" lIns="38100" tIns="19050" rIns="38100" bIns="19050" anchor="ctr" anchorCtr="1"/>
                  <a:lstStyle/>
                  <a:p>
                    <a:pPr>
                      <a:defRPr lang="zh-CN" sz="995" b="1" i="0" u="none" strike="noStrike" kern="1200" spc="0" baseline="0">
                        <a:solidFill>
                          <a:schemeClr val="accent2"/>
                        </a:solidFill>
                        <a:latin typeface="+mn-lt"/>
                        <a:ea typeface="+mn-ea"/>
                        <a:cs typeface="+mn-cs"/>
                      </a:defRPr>
                    </a:pPr>
                    <a:r>
                      <a:rPr altLang="en-US"/>
                      <a:t>公务用车购置费
0</a:t>
                    </a:r>
                    <a:r>
                      <a:rPr lang="zh-CN" altLang="en-US"/>
                      <a:t>，</a:t>
                    </a:r>
                    <a:r>
                      <a:rPr altLang="en-US"/>
                      <a:t>0%</a:t>
                    </a:r>
                    <a:endParaRPr altLang="en-US"/>
                  </a:p>
                </c:rich>
              </c:tx>
              <c:numFmt formatCode="General" sourceLinked="1"/>
              <c:spPr>
                <a:noFill/>
                <a:ln w="25231">
                  <a:noFill/>
                </a:ln>
                <a:effectLst/>
              </c:spPr>
              <c:txPr>
                <a:bodyPr rot="0" spcFirstLastPara="0" vertOverflow="ellipsis" vert="horz" wrap="square" lIns="38100" tIns="19050" rIns="38100" bIns="19050" anchor="ctr" anchorCtr="1"/>
                <a:lstStyle/>
                <a:p>
                  <a:pPr>
                    <a:defRPr lang="zh-CN" sz="995" b="1" i="0" u="none" strike="noStrike" kern="1200" spc="0" baseline="0">
                      <a:solidFill>
                        <a:schemeClr val="accent2"/>
                      </a:solidFill>
                      <a:latin typeface="+mn-lt"/>
                      <a:ea typeface="+mn-ea"/>
                      <a:cs typeface="+mn-cs"/>
                    </a:defRPr>
                  </a:pPr>
                </a:p>
              </c:txPr>
              <c:dLblPos val="bestFit"/>
              <c:showLegendKey val="0"/>
              <c:showVal val="1"/>
              <c:showCatName val="1"/>
              <c:showSerName val="1"/>
              <c:showPercent val="1"/>
              <c:showBubbleSize val="0"/>
              <c:extLst>
                <c:ext xmlns:c15="http://schemas.microsoft.com/office/drawing/2012/chart" uri="{CE6537A1-D6FC-4f65-9D91-7224C49458BB}">
                  <c15:layout/>
                </c:ext>
              </c:extLst>
            </c:dLbl>
            <c:dLbl>
              <c:idx val="2"/>
              <c:layout>
                <c:manualLayout>
                  <c:x val="-0.268416231844257"/>
                  <c:y val="0.247856487951343"/>
                </c:manualLayout>
              </c:layout>
              <c:tx>
                <c:rich>
                  <a:bodyPr rot="0" spcFirstLastPara="0" vertOverflow="ellipsis" vert="horz" wrap="square" lIns="38100" tIns="19050" rIns="38100" bIns="19050" anchor="ctr" anchorCtr="1"/>
                  <a:lstStyle/>
                  <a:p>
                    <a:pPr>
                      <a:defRPr lang="zh-CN" sz="995" b="1" i="0" u="none" strike="noStrike" kern="1200" spc="0" baseline="0">
                        <a:solidFill>
                          <a:schemeClr val="accent3"/>
                        </a:solidFill>
                        <a:latin typeface="+mn-lt"/>
                        <a:ea typeface="+mn-ea"/>
                        <a:cs typeface="+mn-cs"/>
                      </a:defRPr>
                    </a:pPr>
                    <a:r>
                      <a:rPr altLang="en-US"/>
                      <a:t>公务用车运行维护费0</a:t>
                    </a:r>
                    <a:r>
                      <a:rPr lang="zh-CN" altLang="en-US"/>
                      <a:t>，</a:t>
                    </a:r>
                    <a:r>
                      <a:rPr altLang="en-US"/>
                      <a:t>0%</a:t>
                    </a:r>
                    <a:endParaRPr altLang="en-US"/>
                  </a:p>
                </c:rich>
              </c:tx>
              <c:numFmt formatCode="General" sourceLinked="1"/>
              <c:spPr>
                <a:noFill/>
                <a:ln w="25231">
                  <a:noFill/>
                </a:ln>
                <a:effectLst/>
              </c:spPr>
              <c:txPr>
                <a:bodyPr rot="0" spcFirstLastPara="0" vertOverflow="ellipsis" vert="horz" wrap="square" lIns="38100" tIns="19050" rIns="38100" bIns="19050" anchor="ctr" anchorCtr="1"/>
                <a:lstStyle/>
                <a:p>
                  <a:pPr>
                    <a:defRPr lang="zh-CN" sz="995" b="1" i="0" u="none" strike="noStrike" kern="1200" spc="0" baseline="0">
                      <a:solidFill>
                        <a:schemeClr val="accent3"/>
                      </a:solidFill>
                      <a:latin typeface="+mn-lt"/>
                      <a:ea typeface="+mn-ea"/>
                      <a:cs typeface="+mn-cs"/>
                    </a:defRPr>
                  </a:pPr>
                </a:p>
              </c:txPr>
              <c:dLblPos val="bestFit"/>
              <c:showLegendKey val="0"/>
              <c:showVal val="1"/>
              <c:showCatName val="1"/>
              <c:showSerName val="1"/>
              <c:showPercent val="1"/>
              <c:showBubbleSize val="0"/>
              <c:extLst>
                <c:ext xmlns:c15="http://schemas.microsoft.com/office/drawing/2012/chart" uri="{CE6537A1-D6FC-4f65-9D91-7224C49458BB}">
                  <c15:layout/>
                </c:ext>
              </c:extLst>
            </c:dLbl>
            <c:dLbl>
              <c:idx val="3"/>
              <c:layout>
                <c:manualLayout>
                  <c:x val="0.237246693751123"/>
                  <c:y val="0.44652091899815"/>
                </c:manualLayout>
              </c:layout>
              <c:tx>
                <c:rich>
                  <a:bodyPr rot="0" spcFirstLastPara="0" vertOverflow="ellipsis" vert="horz" wrap="square" lIns="38100" tIns="19050" rIns="38100" bIns="19050" anchor="ctr" anchorCtr="1"/>
                  <a:lstStyle/>
                  <a:p>
                    <a:pPr>
                      <a:defRPr lang="zh-CN" sz="995" b="1" i="0" u="none" strike="noStrike" kern="1200" spc="0" baseline="0">
                        <a:solidFill>
                          <a:schemeClr val="accent4"/>
                        </a:solidFill>
                        <a:latin typeface="+mn-lt"/>
                        <a:ea typeface="+mn-ea"/>
                        <a:cs typeface="+mn-cs"/>
                      </a:defRPr>
                    </a:pPr>
                    <a:r>
                      <a:rPr altLang="en-US"/>
                      <a:t>公务接待费
0</a:t>
                    </a:r>
                    <a:r>
                      <a:rPr lang="zh-CN" altLang="en-US"/>
                      <a:t>，</a:t>
                    </a:r>
                    <a:r>
                      <a:rPr altLang="en-US"/>
                      <a:t>0%</a:t>
                    </a:r>
                    <a:endParaRPr altLang="en-US"/>
                  </a:p>
                </c:rich>
              </c:tx>
              <c:numFmt formatCode="General" sourceLinked="1"/>
              <c:spPr>
                <a:noFill/>
                <a:ln w="25231">
                  <a:noFill/>
                </a:ln>
                <a:effectLst/>
              </c:spPr>
              <c:txPr>
                <a:bodyPr rot="0" spcFirstLastPara="0" vertOverflow="ellipsis" vert="horz" wrap="square" lIns="38100" tIns="19050" rIns="38100" bIns="19050" anchor="ctr" anchorCtr="1"/>
                <a:lstStyle/>
                <a:p>
                  <a:pPr>
                    <a:defRPr lang="zh-CN" sz="995" b="1" i="0" u="none" strike="noStrike" kern="1200" spc="0" baseline="0">
                      <a:solidFill>
                        <a:schemeClr val="accent4"/>
                      </a:solidFill>
                      <a:latin typeface="+mn-lt"/>
                      <a:ea typeface="+mn-ea"/>
                      <a:cs typeface="+mn-cs"/>
                    </a:defRPr>
                  </a:pPr>
                </a:p>
              </c:txPr>
              <c:dLblPos val="bestFit"/>
              <c:showLegendKey val="0"/>
              <c:showVal val="1"/>
              <c:showCatName val="1"/>
              <c:showSerName val="1"/>
              <c:showPercent val="1"/>
              <c:showBubbleSize val="0"/>
              <c:extLst>
                <c:ext xmlns:c15="http://schemas.microsoft.com/office/drawing/2012/chart" uri="{CE6537A1-D6FC-4f65-9D91-7224C49458BB}">
                  <c15:layout/>
                </c:ext>
              </c:extLst>
            </c:dLbl>
            <c:spPr>
              <a:noFill/>
              <a:ln w="25231">
                <a:noFill/>
              </a:ln>
              <a:effectLst/>
            </c:spPr>
            <c:txPr>
              <a:bodyPr rot="0" spcFirstLastPara="0" vertOverflow="ellipsis" vert="horz" wrap="square" lIns="38100" tIns="19050" rIns="38100" bIns="19050" anchor="ctr" anchorCtr="1"/>
              <a:lstStyle/>
              <a:p>
                <a:pPr>
                  <a:defRPr lang="zh-CN" sz="995"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0</c:v>
                </c:pt>
                <c:pt idx="1">
                  <c:v>0</c:v>
                </c:pt>
                <c:pt idx="2">
                  <c:v>0</c:v>
                </c:pt>
                <c:pt idx="3">
                  <c:v>0</c:v>
                </c:pt>
              </c:numCache>
            </c:numRef>
          </c:val>
        </c:ser>
        <c:dLbls>
          <c:showLegendKey val="0"/>
          <c:showVal val="0"/>
          <c:showCatName val="0"/>
          <c:showSerName val="0"/>
          <c:showPercent val="1"/>
          <c:showBubbleSize val="0"/>
          <c:showLeaderLines val="1"/>
        </c:dLbls>
        <c:firstSliceAng val="0"/>
      </c:pieChart>
      <c:spPr>
        <a:noFill/>
        <a:ln w="25231">
          <a:noFill/>
        </a:ln>
      </c:spPr>
    </c:plotArea>
    <c:plotVisOnly val="1"/>
    <c:dispBlanksAs val="zero"/>
    <c:showDLblsOverMax val="0"/>
  </c:chart>
  <c:spPr>
    <a:solidFill>
      <a:schemeClr val="bg1"/>
    </a:solidFill>
    <a:ln w="9462"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390" b="0" i="0" u="none" strike="noStrike" kern="1200" spc="0" baseline="0">
                <a:solidFill>
                  <a:schemeClr val="tx1">
                    <a:lumMod val="65000"/>
                    <a:lumOff val="35000"/>
                  </a:schemeClr>
                </a:solidFill>
                <a:latin typeface="+mn-lt"/>
                <a:ea typeface="+mn-ea"/>
                <a:cs typeface="+mn-cs"/>
              </a:defRPr>
            </a:pPr>
            <a:r>
              <a:rPr lang="en-US" altLang="zh-CN"/>
              <a:t>2020</a:t>
            </a:r>
            <a:r>
              <a:rPr altLang="en-US"/>
              <a:t>年</a:t>
            </a:r>
            <a:r>
              <a:t>公务用车运行维护费预决算比较柱形图</a:t>
            </a:r>
          </a:p>
        </c:rich>
      </c:tx>
      <c:layout/>
      <c:overlay val="0"/>
      <c:spPr>
        <a:noFill/>
        <a:ln w="25209">
          <a:noFill/>
        </a:ln>
      </c:spPr>
    </c:title>
    <c:autoTitleDeleted val="0"/>
    <c:plotArea>
      <c:layout>
        <c:manualLayout>
          <c:layoutTarget val="inner"/>
          <c:xMode val="edge"/>
          <c:yMode val="edge"/>
          <c:x val="0.0666666666666667"/>
          <c:y val="0.270676691729324"/>
          <c:w val="0.891891891891894"/>
          <c:h val="0.458646616541353"/>
        </c:manualLayout>
      </c:layout>
      <c:barChart>
        <c:barDir val="col"/>
        <c:grouping val="clustered"/>
        <c:varyColors val="0"/>
        <c:ser>
          <c:idx val="0"/>
          <c:order val="0"/>
          <c:tx>
            <c:strRef>
              <c:f>Sheet1!$B$1</c:f>
              <c:strCache>
                <c:ptCount val="1"/>
                <c:pt idx="0">
                  <c:v>预算数</c:v>
                </c:pt>
              </c:strCache>
            </c:strRef>
          </c:tx>
          <c:spPr>
            <a:solidFill>
              <a:srgbClr val="5B9BD5"/>
            </a:solidFill>
            <a:ln w="25209">
              <a:noFill/>
            </a:ln>
          </c:spPr>
          <c:invertIfNegative val="0"/>
          <c:dLbls>
            <c:spPr>
              <a:noFill/>
              <a:ln w="25209">
                <a:noFill/>
              </a:ln>
              <a:effectLst/>
            </c:spPr>
            <c:txPr>
              <a:bodyPr rot="0" spcFirstLastPara="0" vertOverflow="ellipsis" vert="horz" wrap="square" lIns="38100" tIns="19050" rIns="38100" bIns="19050" anchor="ctr" anchorCtr="1"/>
              <a:lstStyle/>
              <a:p>
                <a:pPr>
                  <a:defRPr lang="zh-CN" sz="89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公务用车运行维护费</c:v>
                </c:pt>
              </c:strCache>
            </c:strRef>
          </c:cat>
          <c:val>
            <c:numRef>
              <c:f>Sheet1!$B$2</c:f>
              <c:numCache>
                <c:formatCode>General</c:formatCode>
                <c:ptCount val="1"/>
                <c:pt idx="0">
                  <c:v>0.48</c:v>
                </c:pt>
              </c:numCache>
            </c:numRef>
          </c:val>
        </c:ser>
        <c:ser>
          <c:idx val="1"/>
          <c:order val="1"/>
          <c:tx>
            <c:strRef>
              <c:f>Sheet1!$C$1</c:f>
              <c:strCache>
                <c:ptCount val="1"/>
                <c:pt idx="0">
                  <c:v>决算数</c:v>
                </c:pt>
              </c:strCache>
            </c:strRef>
          </c:tx>
          <c:spPr>
            <a:solidFill>
              <a:srgbClr val="ED7D31"/>
            </a:solidFill>
            <a:ln w="25209">
              <a:noFill/>
            </a:ln>
          </c:spPr>
          <c:invertIfNegative val="0"/>
          <c:dLbls>
            <c:dLbl>
              <c:idx val="0"/>
              <c:layout/>
              <c:tx>
                <c:rich>
                  <a:bodyPr rot="0" spcFirstLastPara="0" vertOverflow="ellipsis" vert="horz" wrap="square" lIns="38100" tIns="19050" rIns="38100" bIns="19050" anchor="ctr" anchorCtr="1"/>
                  <a:lstStyle/>
                  <a:p>
                    <a:pPr>
                      <a:defRPr lang="zh-CN" sz="895" b="0" i="0" u="none" strike="noStrike" kern="1200" baseline="0">
                        <a:solidFill>
                          <a:schemeClr val="tx1">
                            <a:lumMod val="75000"/>
                            <a:lumOff val="25000"/>
                          </a:schemeClr>
                        </a:solidFill>
                        <a:latin typeface="+mn-lt"/>
                        <a:ea typeface="+mn-ea"/>
                        <a:cs typeface="+mn-cs"/>
                      </a:defRPr>
                    </a:pPr>
                    <a:r>
                      <a:rPr altLang="en-US"/>
                      <a:t>0</a:t>
                    </a:r>
                    <a:r>
                      <a:rPr lang="en-US" altLang="en-US"/>
                      <a:t>.00</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w="25209">
                <a:noFill/>
              </a:ln>
              <a:effectLst/>
            </c:spPr>
            <c:txPr>
              <a:bodyPr rot="0" spcFirstLastPara="0" vertOverflow="ellipsis" vert="horz" wrap="square" lIns="38100" tIns="19050" rIns="38100" bIns="19050" anchor="ctr" anchorCtr="1"/>
              <a:lstStyle/>
              <a:p>
                <a:pPr>
                  <a:defRPr lang="zh-CN" sz="89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公务用车运行维护费</c:v>
                </c:pt>
              </c:strCache>
            </c:strRef>
          </c:cat>
          <c:val>
            <c:numRef>
              <c:f>Sheet1!$C$2</c:f>
              <c:numCache>
                <c:formatCode>General</c:formatCode>
                <c:ptCount val="1"/>
                <c:pt idx="0">
                  <c:v>0</c:v>
                </c:pt>
              </c:numCache>
            </c:numRef>
          </c:val>
        </c:ser>
        <c:dLbls>
          <c:showLegendKey val="0"/>
          <c:showVal val="1"/>
          <c:showCatName val="0"/>
          <c:showSerName val="0"/>
          <c:showPercent val="0"/>
          <c:showBubbleSize val="0"/>
        </c:dLbls>
        <c:gapWidth val="150"/>
        <c:axId val="109728896"/>
        <c:axId val="109730432"/>
      </c:barChart>
      <c:catAx>
        <c:axId val="109728896"/>
        <c:scaling>
          <c:orientation val="minMax"/>
        </c:scaling>
        <c:delete val="0"/>
        <c:axPos val="b"/>
        <c:numFmt formatCode="General" sourceLinked="1"/>
        <c:majorTickMark val="none"/>
        <c:minorTickMark val="none"/>
        <c:tickLblPos val="nextTo"/>
        <c:spPr>
          <a:noFill/>
          <a:ln w="9454"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95" b="0" i="0" u="none" strike="noStrike" kern="1200" baseline="0">
                <a:solidFill>
                  <a:schemeClr val="tx1">
                    <a:lumMod val="65000"/>
                    <a:lumOff val="35000"/>
                  </a:schemeClr>
                </a:solidFill>
                <a:latin typeface="+mn-lt"/>
                <a:ea typeface="+mn-ea"/>
                <a:cs typeface="+mn-cs"/>
              </a:defRPr>
            </a:pPr>
          </a:p>
        </c:txPr>
        <c:crossAx val="109730432"/>
        <c:crosses val="autoZero"/>
        <c:auto val="1"/>
        <c:lblAlgn val="ctr"/>
        <c:lblOffset val="100"/>
        <c:noMultiLvlLbl val="0"/>
      </c:catAx>
      <c:valAx>
        <c:axId val="109730432"/>
        <c:scaling>
          <c:orientation val="minMax"/>
          <c:min val="0"/>
        </c:scaling>
        <c:delete val="0"/>
        <c:axPos val="l"/>
        <c:majorGridlines>
          <c:spPr>
            <a:ln w="9454"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302" cap="flat" cmpd="sng" algn="ctr">
            <a:noFill/>
            <a:prstDash val="solid"/>
            <a:round/>
          </a:ln>
        </c:spPr>
        <c:txPr>
          <a:bodyPr rot="-60000000" spcFirstLastPara="0" vertOverflow="ellipsis" vert="horz" wrap="square" anchor="ctr" anchorCtr="1"/>
          <a:lstStyle/>
          <a:p>
            <a:pPr>
              <a:defRPr lang="zh-CN" sz="895" b="0" i="0" u="none" strike="noStrike" kern="1200" baseline="0">
                <a:solidFill>
                  <a:schemeClr val="tx1">
                    <a:lumMod val="65000"/>
                    <a:lumOff val="35000"/>
                  </a:schemeClr>
                </a:solidFill>
                <a:latin typeface="+mn-lt"/>
                <a:ea typeface="+mn-ea"/>
                <a:cs typeface="+mn-cs"/>
              </a:defRPr>
            </a:pPr>
          </a:p>
        </c:txPr>
        <c:crossAx val="109728896"/>
        <c:crosses val="autoZero"/>
        <c:crossBetween val="between"/>
      </c:valAx>
      <c:spPr>
        <a:noFill/>
        <a:ln w="25209">
          <a:noFill/>
        </a:ln>
      </c:spPr>
    </c:plotArea>
    <c:legend>
      <c:legendPos val="r"/>
      <c:layout>
        <c:manualLayout>
          <c:xMode val="edge"/>
          <c:yMode val="edge"/>
          <c:x val="0.376033103970112"/>
          <c:y val="0.864197296828715"/>
          <c:w val="0.24586772599371"/>
          <c:h val="0.090534872157604"/>
        </c:manualLayout>
      </c:layout>
      <c:overlay val="0"/>
      <c:spPr>
        <a:noFill/>
        <a:ln w="25209">
          <a:noFill/>
        </a:ln>
      </c:spPr>
      <c:txPr>
        <a:bodyPr rot="0" spcFirstLastPara="0" vertOverflow="ellipsis" vert="horz" wrap="square" anchor="ctr" anchorCtr="1"/>
        <a:lstStyle/>
        <a:p>
          <a:pPr>
            <a:defRPr lang="zh-CN" sz="895"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454"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390" b="0" i="0" u="none" strike="noStrike" kern="1200" spc="0" baseline="0">
                <a:solidFill>
                  <a:schemeClr val="tx1">
                    <a:lumMod val="65000"/>
                    <a:lumOff val="35000"/>
                  </a:schemeClr>
                </a:solidFill>
                <a:latin typeface="+mn-lt"/>
                <a:ea typeface="+mn-ea"/>
                <a:cs typeface="+mn-cs"/>
              </a:defRPr>
            </a:pPr>
            <a:r>
              <a:rPr lang="en-US" altLang="zh-CN"/>
              <a:t>2020</a:t>
            </a:r>
            <a:r>
              <a:rPr altLang="en-US"/>
              <a:t>年</a:t>
            </a:r>
            <a:r>
              <a:t>公务接待费预决算比较柱形图</a:t>
            </a:r>
          </a:p>
        </c:rich>
      </c:tx>
      <c:layout/>
      <c:overlay val="0"/>
      <c:spPr>
        <a:noFill/>
        <a:ln w="25231">
          <a:noFill/>
        </a:ln>
      </c:spPr>
    </c:title>
    <c:autoTitleDeleted val="0"/>
    <c:plotArea>
      <c:layout>
        <c:manualLayout>
          <c:layoutTarget val="inner"/>
          <c:xMode val="edge"/>
          <c:yMode val="edge"/>
          <c:x val="0.0797962648556881"/>
          <c:y val="0.265625"/>
          <c:w val="0.616298811544995"/>
          <c:h val="0.386718750000001"/>
        </c:manualLayout>
      </c:layout>
      <c:barChart>
        <c:barDir val="col"/>
        <c:grouping val="clustered"/>
        <c:varyColors val="0"/>
        <c:ser>
          <c:idx val="0"/>
          <c:order val="0"/>
          <c:tx>
            <c:strRef>
              <c:f>Sheet1!$B$1</c:f>
              <c:strCache>
                <c:ptCount val="1"/>
                <c:pt idx="0">
                  <c:v>预算数</c:v>
                </c:pt>
              </c:strCache>
            </c:strRef>
          </c:tx>
          <c:spPr>
            <a:solidFill>
              <a:srgbClr val="5B9BD5"/>
            </a:solidFill>
            <a:ln w="25231">
              <a:noFill/>
            </a:ln>
          </c:spPr>
          <c:invertIfNegative val="0"/>
          <c:dLbls>
            <c:spPr>
              <a:noFill/>
              <a:ln w="25231">
                <a:noFill/>
              </a:ln>
              <a:effectLst/>
            </c:spPr>
            <c:txPr>
              <a:bodyPr rot="0" spcFirstLastPara="0" vertOverflow="ellipsis" vert="horz" wrap="square" lIns="38100" tIns="19050" rIns="38100" bIns="19050" anchor="ctr" anchorCtr="1"/>
              <a:lstStyle/>
              <a:p>
                <a:pPr>
                  <a:defRPr lang="zh-CN" sz="89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公务接待费</c:v>
                </c:pt>
              </c:strCache>
            </c:strRef>
          </c:cat>
          <c:val>
            <c:numRef>
              <c:f>Sheet1!$B$2</c:f>
              <c:numCache>
                <c:formatCode>General</c:formatCode>
                <c:ptCount val="1"/>
                <c:pt idx="0">
                  <c:v>1</c:v>
                </c:pt>
              </c:numCache>
            </c:numRef>
          </c:val>
        </c:ser>
        <c:ser>
          <c:idx val="1"/>
          <c:order val="1"/>
          <c:tx>
            <c:strRef>
              <c:f>Sheet1!$C$1</c:f>
              <c:strCache>
                <c:ptCount val="1"/>
                <c:pt idx="0">
                  <c:v>决算数</c:v>
                </c:pt>
              </c:strCache>
            </c:strRef>
          </c:tx>
          <c:spPr>
            <a:solidFill>
              <a:srgbClr val="ED7D31"/>
            </a:solidFill>
            <a:ln w="25231">
              <a:noFill/>
            </a:ln>
          </c:spPr>
          <c:invertIfNegative val="0"/>
          <c:dLbls>
            <c:dLbl>
              <c:idx val="0"/>
              <c:layout/>
              <c:tx>
                <c:rich>
                  <a:bodyPr rot="0" spcFirstLastPara="0" vertOverflow="ellipsis" vert="horz" wrap="square" lIns="38100" tIns="19050" rIns="38100" bIns="19050" anchor="ctr" anchorCtr="1"/>
                  <a:lstStyle/>
                  <a:p>
                    <a:pPr>
                      <a:defRPr lang="zh-CN" sz="895" b="0" i="0" u="none" strike="noStrike" kern="1200" baseline="0">
                        <a:solidFill>
                          <a:schemeClr val="tx1">
                            <a:lumMod val="75000"/>
                            <a:lumOff val="25000"/>
                          </a:schemeClr>
                        </a:solidFill>
                        <a:latin typeface="+mn-lt"/>
                        <a:ea typeface="+mn-ea"/>
                        <a:cs typeface="+mn-cs"/>
                      </a:defRPr>
                    </a:pPr>
                    <a:r>
                      <a:rPr altLang="en-US"/>
                      <a:t>0</a:t>
                    </a:r>
                    <a:r>
                      <a:rPr lang="en-US" altLang="en-US"/>
                      <a:t>.00</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w="25231">
                <a:noFill/>
              </a:ln>
              <a:effectLst/>
            </c:spPr>
            <c:txPr>
              <a:bodyPr rot="0" spcFirstLastPara="0" vertOverflow="ellipsis" vert="horz" wrap="square" lIns="38100" tIns="19050" rIns="38100" bIns="19050" anchor="ctr" anchorCtr="1"/>
              <a:lstStyle/>
              <a:p>
                <a:pPr>
                  <a:defRPr lang="zh-CN" sz="895"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公务接待费</c:v>
                </c:pt>
              </c:strCache>
            </c:strRef>
          </c:cat>
          <c:val>
            <c:numRef>
              <c:f>Sheet1!$C$2</c:f>
              <c:numCache>
                <c:formatCode>General</c:formatCode>
                <c:ptCount val="1"/>
                <c:pt idx="0">
                  <c:v>0</c:v>
                </c:pt>
              </c:numCache>
            </c:numRef>
          </c:val>
        </c:ser>
        <c:dLbls>
          <c:showLegendKey val="0"/>
          <c:showVal val="1"/>
          <c:showCatName val="0"/>
          <c:showSerName val="0"/>
          <c:showPercent val="0"/>
          <c:showBubbleSize val="0"/>
        </c:dLbls>
        <c:gapWidth val="150"/>
        <c:axId val="153272320"/>
        <c:axId val="153273856"/>
      </c:barChart>
      <c:catAx>
        <c:axId val="153272320"/>
        <c:scaling>
          <c:orientation val="minMax"/>
        </c:scaling>
        <c:delete val="0"/>
        <c:axPos val="b"/>
        <c:numFmt formatCode="General" sourceLinked="1"/>
        <c:majorTickMark val="none"/>
        <c:minorTickMark val="none"/>
        <c:tickLblPos val="nextTo"/>
        <c:spPr>
          <a:noFill/>
          <a:ln w="9462"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895" b="0" i="0" u="none" strike="noStrike" kern="1200" baseline="0">
                <a:solidFill>
                  <a:schemeClr val="tx1">
                    <a:lumMod val="65000"/>
                    <a:lumOff val="35000"/>
                  </a:schemeClr>
                </a:solidFill>
                <a:latin typeface="+mn-lt"/>
                <a:ea typeface="+mn-ea"/>
                <a:cs typeface="+mn-cs"/>
              </a:defRPr>
            </a:pPr>
          </a:p>
        </c:txPr>
        <c:crossAx val="153273856"/>
        <c:crosses val="autoZero"/>
        <c:auto val="1"/>
        <c:lblAlgn val="ctr"/>
        <c:lblOffset val="100"/>
        <c:noMultiLvlLbl val="0"/>
      </c:catAx>
      <c:valAx>
        <c:axId val="153273856"/>
        <c:scaling>
          <c:orientation val="minMax"/>
          <c:min val="0"/>
        </c:scaling>
        <c:delete val="0"/>
        <c:axPos val="l"/>
        <c:majorGridlines>
          <c:spPr>
            <a:ln w="9462"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308" cap="flat" cmpd="sng" algn="ctr">
            <a:noFill/>
            <a:prstDash val="solid"/>
            <a:round/>
          </a:ln>
        </c:spPr>
        <c:txPr>
          <a:bodyPr rot="-60000000" spcFirstLastPara="0" vertOverflow="ellipsis" vert="horz" wrap="square" anchor="ctr" anchorCtr="1"/>
          <a:lstStyle/>
          <a:p>
            <a:pPr>
              <a:defRPr lang="zh-CN" sz="895" b="0" i="0" u="none" strike="noStrike" kern="1200" baseline="0">
                <a:solidFill>
                  <a:schemeClr val="tx1">
                    <a:lumMod val="65000"/>
                    <a:lumOff val="35000"/>
                  </a:schemeClr>
                </a:solidFill>
                <a:latin typeface="+mn-lt"/>
                <a:ea typeface="+mn-ea"/>
                <a:cs typeface="+mn-cs"/>
              </a:defRPr>
            </a:pPr>
          </a:p>
        </c:txPr>
        <c:crossAx val="153272320"/>
        <c:crosses val="autoZero"/>
        <c:crossBetween val="between"/>
      </c:valAx>
      <c:spPr>
        <a:noFill/>
        <a:ln w="25231">
          <a:noFill/>
        </a:ln>
      </c:spPr>
    </c:plotArea>
    <c:legend>
      <c:legendPos val="r"/>
      <c:layout>
        <c:manualLayout>
          <c:xMode val="edge"/>
          <c:yMode val="edge"/>
          <c:x val="0.383720924015475"/>
          <c:y val="0.872428093108459"/>
          <c:w val="0.230620154002579"/>
          <c:h val="0.0905348091699368"/>
        </c:manualLayout>
      </c:layout>
      <c:overlay val="0"/>
      <c:spPr>
        <a:noFill/>
        <a:ln w="25231">
          <a:noFill/>
        </a:ln>
      </c:spPr>
      <c:txPr>
        <a:bodyPr rot="0" spcFirstLastPara="0" vertOverflow="ellipsis" vert="horz" wrap="square" anchor="ctr" anchorCtr="1"/>
        <a:lstStyle/>
        <a:p>
          <a:pPr>
            <a:defRPr lang="zh-CN" sz="895"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462"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1923</Words>
  <Characters>10962</Characters>
  <Lines>91</Lines>
  <Paragraphs>25</Paragraphs>
  <TotalTime>1</TotalTime>
  <ScaleCrop>false</ScaleCrop>
  <LinksUpToDate>false</LinksUpToDate>
  <CharactersWithSpaces>12860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2016-09-07T07:37:00Z</dcterms:created>
  <dc:creator>Administrator</dc:creator>
  <cp:lastModifiedBy>_DDD</cp:lastModifiedBy>
  <cp:lastPrinted>2021-10-08T08:56:00Z</cp:lastPrinted>
  <dcterms:modified xsi:type="dcterms:W3CDTF">2021-10-19T09:30:19Z</dcterms:modified>
  <dc:title>杨陵区财政局</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