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colors9.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charts/style9.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44"/>
          <w:szCs w:val="44"/>
        </w:rPr>
      </w:pPr>
    </w:p>
    <w:p>
      <w:pPr>
        <w:spacing w:line="440" w:lineRule="exact"/>
        <w:jc w:val="center"/>
        <w:rPr>
          <w:rFonts w:ascii="宋体" w:hAnsi="宋体" w:cs="宋体"/>
          <w:b/>
          <w:bCs/>
          <w:sz w:val="44"/>
          <w:szCs w:val="44"/>
        </w:rPr>
      </w:pPr>
    </w:p>
    <w:p>
      <w:pPr>
        <w:spacing w:line="560" w:lineRule="exact"/>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8"/>
          <w:szCs w:val="48"/>
          <w:lang w:eastAsia="zh-CN"/>
        </w:rPr>
        <w:t>杨陵区招商服务一局</w:t>
      </w:r>
      <w:r>
        <w:rPr>
          <w:rFonts w:hint="eastAsia" w:asciiTheme="majorEastAsia" w:hAnsiTheme="majorEastAsia" w:eastAsiaTheme="majorEastAsia" w:cstheme="majorEastAsia"/>
          <w:b/>
          <w:bCs/>
          <w:sz w:val="48"/>
          <w:szCs w:val="48"/>
        </w:rPr>
        <w:t>2019年部门决算</w:t>
      </w: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hint="eastAsia"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400" w:lineRule="exact"/>
        <w:ind w:firstLine="2570" w:firstLineChars="800"/>
        <w:rPr>
          <w:rFonts w:asciiTheme="majorEastAsia" w:hAnsiTheme="majorEastAsia" w:eastAsiaTheme="majorEastAsia" w:cstheme="majorEastAsia"/>
          <w:b/>
          <w:bCs/>
          <w:sz w:val="32"/>
          <w:szCs w:val="32"/>
        </w:rPr>
      </w:pPr>
    </w:p>
    <w:p>
      <w:pPr>
        <w:spacing w:line="400" w:lineRule="exact"/>
        <w:ind w:firstLine="2570" w:firstLineChars="800"/>
        <w:rPr>
          <w:rFonts w:hint="eastAsia" w:asciiTheme="majorEastAsia" w:hAnsiTheme="majorEastAsia" w:eastAsiaTheme="majorEastAsia" w:cstheme="majorEastAsia"/>
          <w:b/>
          <w:bCs/>
          <w:sz w:val="32"/>
          <w:szCs w:val="32"/>
        </w:rPr>
      </w:pPr>
    </w:p>
    <w:p>
      <w:pPr>
        <w:spacing w:line="400" w:lineRule="exact"/>
        <w:ind w:firstLine="2088" w:firstLineChars="650"/>
        <w:rPr>
          <w:rFonts w:hint="eastAsia" w:asciiTheme="majorEastAsia" w:hAnsiTheme="majorEastAsia" w:eastAsiaTheme="majorEastAsia" w:cstheme="majorEastAsia"/>
          <w:b/>
          <w:bCs/>
          <w:sz w:val="32"/>
          <w:szCs w:val="32"/>
          <w:lang w:eastAsia="zh-CN"/>
        </w:rPr>
      </w:pPr>
      <w:r>
        <w:rPr>
          <w:rFonts w:hint="eastAsia" w:asciiTheme="majorEastAsia" w:hAnsiTheme="majorEastAsia" w:eastAsiaTheme="majorEastAsia" w:cstheme="majorEastAsia"/>
          <w:b/>
          <w:bCs/>
          <w:sz w:val="32"/>
          <w:szCs w:val="32"/>
        </w:rPr>
        <w:t>保密审查情况：</w:t>
      </w:r>
      <w:r>
        <w:rPr>
          <w:rFonts w:hint="eastAsia" w:asciiTheme="majorEastAsia" w:hAnsiTheme="majorEastAsia" w:eastAsiaTheme="majorEastAsia" w:cstheme="majorEastAsia"/>
          <w:b/>
          <w:bCs/>
          <w:sz w:val="32"/>
          <w:szCs w:val="32"/>
          <w:lang w:eastAsia="zh-CN"/>
        </w:rPr>
        <w:t>已审查</w:t>
      </w:r>
    </w:p>
    <w:p>
      <w:pPr>
        <w:spacing w:line="400" w:lineRule="exact"/>
        <w:jc w:val="center"/>
        <w:rPr>
          <w:rFonts w:ascii="宋体" w:hAnsi="宋体" w:cs="宋体"/>
          <w:b/>
          <w:bCs/>
          <w:sz w:val="32"/>
          <w:szCs w:val="32"/>
        </w:rPr>
      </w:pPr>
    </w:p>
    <w:p>
      <w:pPr>
        <w:spacing w:line="400" w:lineRule="exact"/>
        <w:ind w:firstLine="2088" w:firstLineChars="650"/>
        <w:rPr>
          <w:rFonts w:hint="eastAsia" w:ascii="宋体" w:hAnsi="宋体" w:eastAsia="宋体" w:cs="宋体"/>
          <w:b/>
          <w:bCs/>
          <w:sz w:val="32"/>
          <w:szCs w:val="32"/>
          <w:lang w:eastAsia="zh-CN"/>
        </w:rPr>
      </w:pPr>
      <w:r>
        <w:rPr>
          <w:rFonts w:hint="eastAsia" w:ascii="宋体" w:hAnsi="宋体" w:cs="宋体"/>
          <w:b/>
          <w:bCs/>
          <w:sz w:val="32"/>
          <w:szCs w:val="32"/>
        </w:rPr>
        <w:t>部门主要负责人审签情况：</w:t>
      </w:r>
      <w:r>
        <w:rPr>
          <w:rFonts w:hint="eastAsia" w:ascii="宋体" w:hAnsi="宋体" w:cs="宋体"/>
          <w:b/>
          <w:bCs/>
          <w:sz w:val="32"/>
          <w:szCs w:val="32"/>
          <w:lang w:eastAsia="zh-CN"/>
        </w:rPr>
        <w:t>已审签</w:t>
      </w:r>
    </w:p>
    <w:p>
      <w:pPr>
        <w:spacing w:line="400" w:lineRule="exact"/>
        <w:rPr>
          <w:rFonts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spacing w:line="400" w:lineRule="exact"/>
        <w:rPr>
          <w:rFonts w:hint="eastAsia"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jc w:val="center"/>
        <w:rPr>
          <w:rFonts w:ascii="黑体" w:hAnsi="宋体" w:eastAsia="黑体"/>
          <w:bCs/>
          <w:color w:val="000000"/>
          <w:kern w:val="0"/>
          <w:sz w:val="36"/>
          <w:szCs w:val="36"/>
          <w:lang w:bidi="ar"/>
        </w:rPr>
      </w:pPr>
      <w:r>
        <w:rPr>
          <w:rFonts w:ascii="黑体" w:hAnsi="宋体" w:eastAsia="黑体"/>
          <w:b/>
          <w:color w:val="000000"/>
          <w:kern w:val="0"/>
          <w:sz w:val="56"/>
          <w:szCs w:val="56"/>
          <w:lang w:bidi="ar"/>
        </w:rPr>
        <w:br w:type="page"/>
      </w:r>
      <w:r>
        <w:rPr>
          <w:rFonts w:ascii="黑体" w:hAnsi="宋体" w:eastAsia="黑体"/>
          <w:bCs/>
          <w:color w:val="000000"/>
          <w:kern w:val="0"/>
          <w:sz w:val="36"/>
          <w:szCs w:val="36"/>
          <w:lang w:bidi="ar"/>
        </w:rPr>
        <w:t>目</w:t>
      </w:r>
      <w:r>
        <w:rPr>
          <w:rFonts w:hint="eastAsia" w:ascii="黑体" w:hAnsi="宋体" w:eastAsia="黑体"/>
          <w:bCs/>
          <w:color w:val="000000"/>
          <w:kern w:val="0"/>
          <w:sz w:val="36"/>
          <w:szCs w:val="36"/>
          <w:lang w:bidi="ar"/>
        </w:rPr>
        <w:t xml:space="preserve">  </w:t>
      </w:r>
      <w:r>
        <w:rPr>
          <w:rFonts w:ascii="黑体" w:hAnsi="宋体" w:eastAsia="黑体"/>
          <w:bCs/>
          <w:color w:val="000000"/>
          <w:kern w:val="0"/>
          <w:sz w:val="36"/>
          <w:szCs w:val="36"/>
          <w:lang w:bidi="ar"/>
        </w:rPr>
        <w:t>录</w:t>
      </w:r>
    </w:p>
    <w:p>
      <w:pPr>
        <w:widowControl/>
        <w:jc w:val="center"/>
      </w:pPr>
      <w:r>
        <w:rPr>
          <w:rFonts w:hint="eastAsia" w:ascii="黑体" w:hAnsi="宋体" w:eastAsia="黑体"/>
          <w:color w:val="000000"/>
          <w:kern w:val="0"/>
          <w:sz w:val="32"/>
          <w:szCs w:val="32"/>
          <w:lang w:bidi="ar"/>
        </w:rPr>
        <w:t xml:space="preserve">第一部分 </w:t>
      </w:r>
      <w:r>
        <w:rPr>
          <w:rFonts w:ascii="黑体" w:hAnsi="宋体" w:eastAsia="黑体"/>
          <w:color w:val="000000"/>
          <w:kern w:val="0"/>
          <w:sz w:val="32"/>
          <w:szCs w:val="32"/>
          <w:lang w:bidi="ar"/>
        </w:rPr>
        <w:t xml:space="preserve"> </w:t>
      </w:r>
      <w:r>
        <w:rPr>
          <w:rFonts w:hint="eastAsia" w:ascii="黑体" w:hAnsi="宋体" w:eastAsia="黑体"/>
          <w:color w:val="000000"/>
          <w:kern w:val="0"/>
          <w:sz w:val="32"/>
          <w:szCs w:val="32"/>
          <w:lang w:bidi="ar"/>
        </w:rPr>
        <w:t>部门概况</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一、部门主要职责及内设机构</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二、部门决算单位构成</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三、部门人员情况</w:t>
      </w:r>
    </w:p>
    <w:p>
      <w:pPr>
        <w:widowControl/>
        <w:jc w:val="center"/>
      </w:pPr>
      <w:r>
        <w:rPr>
          <w:rFonts w:hint="eastAsia" w:ascii="黑体" w:hAnsi="宋体" w:eastAsia="黑体"/>
          <w:color w:val="000000"/>
          <w:kern w:val="0"/>
          <w:sz w:val="32"/>
          <w:szCs w:val="32"/>
          <w:lang w:bidi="ar"/>
        </w:rPr>
        <w:t>第二部分  2019年部门决算表</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一、收入支出决算总表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二、收入决算表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三、支出决算表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四、财政拨款收入支出决算总表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五、一般公共预算财政拨款支出决算表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六、一般公共预算财政拨款基本支出决算表    </w:t>
      </w:r>
    </w:p>
    <w:p>
      <w:pPr>
        <w:widowControl/>
        <w:ind w:left="640" w:hanging="640" w:hanging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七、一般公共预算财政拨款“三公”经费及会议费、培训费支出决算表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八、政府性基金预算财政拨款收入支出决算表</w:t>
      </w:r>
    </w:p>
    <w:p>
      <w:pPr>
        <w:widowControl/>
        <w:jc w:val="center"/>
      </w:pPr>
      <w:r>
        <w:rPr>
          <w:rFonts w:hint="eastAsia" w:ascii="黑体" w:hAnsi="宋体" w:eastAsia="黑体"/>
          <w:color w:val="000000"/>
          <w:kern w:val="0"/>
          <w:sz w:val="32"/>
          <w:szCs w:val="32"/>
          <w:lang w:bidi="ar"/>
        </w:rPr>
        <w:t xml:space="preserve">第三部分 </w:t>
      </w:r>
      <w:r>
        <w:rPr>
          <w:rFonts w:ascii="黑体" w:hAnsi="宋体" w:eastAsia="黑体"/>
          <w:color w:val="000000"/>
          <w:kern w:val="0"/>
          <w:sz w:val="32"/>
          <w:szCs w:val="32"/>
          <w:lang w:bidi="ar"/>
        </w:rPr>
        <w:t xml:space="preserve"> </w:t>
      </w:r>
      <w:r>
        <w:rPr>
          <w:rFonts w:hint="eastAsia" w:ascii="黑体" w:hAnsi="宋体" w:eastAsia="黑体"/>
          <w:color w:val="000000"/>
          <w:kern w:val="0"/>
          <w:sz w:val="32"/>
          <w:szCs w:val="32"/>
          <w:lang w:bidi="ar"/>
        </w:rPr>
        <w:t>2019年部门决算情况说明</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一、收入支出决算总体情况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二、收入决算情况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楷体" w:hAnsi="楷体" w:eastAsia="楷体" w:cs="楷体"/>
        </w:rPr>
      </w:pPr>
      <w:r>
        <w:rPr>
          <w:rFonts w:hint="eastAsia" w:ascii="仿宋" w:hAnsi="仿宋" w:eastAsia="仿宋" w:cs="楷体"/>
          <w:color w:val="000000"/>
          <w:kern w:val="0"/>
          <w:sz w:val="32"/>
          <w:szCs w:val="32"/>
          <w:lang w:bidi="ar"/>
        </w:rPr>
        <w:t>四、财政拨款收入支出决算总体情况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r>
        <w:rPr>
          <w:rFonts w:hint="eastAsia" w:ascii="楷体" w:hAnsi="楷体" w:eastAsia="楷体"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五、一般公共预算财政拨款支出决算情况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（一）财政拨款支出决算总体情况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（二）财政拨款支出决算具体情况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六、一般公共预算财政拨款基本支出决算情况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ind w:left="640" w:hanging="640" w:hanging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七、一般公共预算财政拨款“三公”经费及会议费、培训费支出决算情况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（一）“三公”经费财政拨款支出决算总体情况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（二）“三公”经费财政拨款支出决算具体情况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（三）培训费支出情况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（四）会议费支出情况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八、政府性基金预算财政拨款收入支出情况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九、国有资本经营财政拨款收</w:t>
      </w:r>
      <w:r>
        <w:rPr>
          <w:rFonts w:hint="eastAsia" w:ascii="仿宋" w:hAnsi="仿宋" w:eastAsia="仿宋" w:cs="楷体"/>
          <w:color w:val="000000"/>
          <w:kern w:val="0"/>
          <w:sz w:val="32"/>
          <w:szCs w:val="32"/>
          <w:lang w:eastAsia="zh-CN" w:bidi="ar"/>
        </w:rPr>
        <w:t>入</w:t>
      </w:r>
      <w:r>
        <w:rPr>
          <w:rFonts w:hint="eastAsia" w:ascii="仿宋" w:hAnsi="仿宋" w:eastAsia="仿宋" w:cs="楷体"/>
          <w:color w:val="000000"/>
          <w:kern w:val="0"/>
          <w:sz w:val="32"/>
          <w:szCs w:val="32"/>
          <w:lang w:bidi="ar"/>
        </w:rPr>
        <w:t>支</w:t>
      </w:r>
      <w:r>
        <w:rPr>
          <w:rFonts w:hint="eastAsia" w:ascii="仿宋" w:hAnsi="仿宋" w:eastAsia="仿宋" w:cs="楷体"/>
          <w:color w:val="000000"/>
          <w:kern w:val="0"/>
          <w:sz w:val="32"/>
          <w:szCs w:val="32"/>
          <w:lang w:eastAsia="zh-CN" w:bidi="ar"/>
        </w:rPr>
        <w:t>出</w:t>
      </w:r>
      <w:r>
        <w:rPr>
          <w:rFonts w:hint="eastAsia" w:ascii="仿宋" w:hAnsi="仿宋" w:eastAsia="仿宋" w:cs="楷体"/>
          <w:color w:val="000000"/>
          <w:kern w:val="0"/>
          <w:sz w:val="32"/>
          <w:szCs w:val="32"/>
          <w:lang w:bidi="ar"/>
        </w:rPr>
        <w:t>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十、预算绩效情况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（一）预算绩效管理工作开展情况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（二）部门决算中项目绩效自评结果</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十一、其他重要事项</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（一）机关运行经费支出情况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（二）政府采购支出情况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（三）国有资产占用及购置情况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jc w:val="center"/>
        <w:rPr>
          <w:rFonts w:ascii="宋体" w:hAnsi="宋体" w:cs="宋体"/>
          <w:b/>
          <w:bCs/>
          <w:sz w:val="44"/>
          <w:szCs w:val="44"/>
        </w:rPr>
      </w:pPr>
      <w:r>
        <w:rPr>
          <w:rFonts w:hint="eastAsia" w:ascii="黑体" w:hAnsi="宋体" w:eastAsia="黑体"/>
          <w:color w:val="000000"/>
          <w:kern w:val="0"/>
          <w:sz w:val="32"/>
          <w:szCs w:val="32"/>
          <w:lang w:bidi="ar"/>
        </w:rPr>
        <w:t>第四部分 专业名词解释</w:t>
      </w:r>
    </w:p>
    <w:p>
      <w:pPr>
        <w:jc w:val="center"/>
        <w:rPr>
          <w:rFonts w:ascii="黑体" w:hAnsi="宋体" w:eastAsia="黑体"/>
          <w:color w:val="000000"/>
          <w:kern w:val="0"/>
          <w:sz w:val="44"/>
          <w:szCs w:val="44"/>
          <w:lang w:bidi="ar"/>
        </w:rPr>
      </w:pPr>
      <w:r>
        <w:rPr>
          <w:rFonts w:hint="eastAsia" w:ascii="黑体" w:hAnsi="宋体" w:eastAsia="黑体"/>
          <w:color w:val="000000"/>
          <w:kern w:val="0"/>
          <w:sz w:val="44"/>
          <w:szCs w:val="44"/>
          <w:lang w:bidi="ar"/>
        </w:rPr>
        <w:t>第一部分 部门</w:t>
      </w:r>
      <w:r>
        <w:rPr>
          <w:rFonts w:ascii="黑体" w:hAnsi="宋体" w:eastAsia="黑体"/>
          <w:color w:val="000000"/>
          <w:kern w:val="0"/>
          <w:sz w:val="44"/>
          <w:szCs w:val="44"/>
          <w:lang w:bidi="ar"/>
        </w:rPr>
        <w:t>概况</w:t>
      </w:r>
    </w:p>
    <w:p>
      <w:pPr>
        <w:widowControl/>
        <w:ind w:firstLine="640" w:firstLineChars="200"/>
        <w:jc w:val="left"/>
        <w:rPr>
          <w:rFonts w:ascii="黑体" w:hAnsi="宋体" w:eastAsia="黑体"/>
          <w:color w:val="000000"/>
          <w:kern w:val="0"/>
          <w:sz w:val="32"/>
          <w:szCs w:val="32"/>
          <w:lang w:bidi="ar"/>
        </w:rPr>
      </w:pPr>
      <w:r>
        <w:rPr>
          <w:rFonts w:hint="eastAsia" w:ascii="黑体" w:hAnsi="宋体" w:eastAsia="黑体"/>
          <w:color w:val="000000"/>
          <w:kern w:val="0"/>
          <w:sz w:val="32"/>
          <w:szCs w:val="32"/>
          <w:lang w:bidi="ar"/>
        </w:rPr>
        <w:t>一、部门主要职责及内设机构</w:t>
      </w:r>
    </w:p>
    <w:p>
      <w:pPr>
        <w:widowControl/>
        <w:ind w:firstLine="643" w:firstLineChars="200"/>
        <w:jc w:val="left"/>
        <w:rPr>
          <w:rFonts w:hint="eastAsia" w:ascii="楷体" w:hAnsi="楷体" w:eastAsia="楷体" w:cs="楷体"/>
          <w:b/>
          <w:bCs/>
          <w:color w:val="000000"/>
          <w:kern w:val="0"/>
          <w:sz w:val="32"/>
          <w:szCs w:val="32"/>
          <w:lang w:eastAsia="zh-CN" w:bidi="ar"/>
        </w:rPr>
      </w:pPr>
      <w:r>
        <w:rPr>
          <w:rFonts w:hint="eastAsia" w:ascii="楷体" w:hAnsi="楷体" w:eastAsia="楷体" w:cs="楷体"/>
          <w:b/>
          <w:bCs/>
          <w:color w:val="000000"/>
          <w:kern w:val="0"/>
          <w:sz w:val="32"/>
          <w:szCs w:val="32"/>
          <w:lang w:bidi="ar"/>
        </w:rPr>
        <w:t>（一）主要职责</w:t>
      </w:r>
      <w:r>
        <w:rPr>
          <w:rFonts w:hint="eastAsia" w:ascii="楷体" w:hAnsi="楷体" w:eastAsia="楷体" w:cs="楷体"/>
          <w:b/>
          <w:bCs/>
          <w:color w:val="000000"/>
          <w:kern w:val="0"/>
          <w:sz w:val="32"/>
          <w:szCs w:val="32"/>
          <w:lang w:eastAsia="zh-CN" w:bidi="ar"/>
        </w:rPr>
        <w:t>。</w:t>
      </w:r>
    </w:p>
    <w:p>
      <w:pPr>
        <w:adjustRightInd w:val="0"/>
        <w:snapToGrid w:val="0"/>
        <w:spacing w:line="600" w:lineRule="exact"/>
        <w:ind w:firstLine="640"/>
        <w:rPr>
          <w:rFonts w:ascii="仿宋_GB2312" w:hAnsi="仿宋" w:eastAsia="仿宋_GB2312" w:cs="宋体"/>
          <w:kern w:val="0"/>
          <w:sz w:val="32"/>
          <w:szCs w:val="32"/>
        </w:rPr>
      </w:pPr>
      <w:r>
        <w:rPr>
          <w:rFonts w:hint="eastAsia" w:ascii="仿宋_GB2312" w:hAnsi="仿宋" w:eastAsia="仿宋_GB2312" w:cs="宋体"/>
          <w:kern w:val="0"/>
          <w:sz w:val="32"/>
          <w:szCs w:val="32"/>
        </w:rPr>
        <w:t>杨陵区招商服务</w:t>
      </w:r>
      <w:r>
        <w:rPr>
          <w:rFonts w:hint="eastAsia" w:ascii="仿宋_GB2312" w:hAnsi="仿宋" w:eastAsia="仿宋_GB2312" w:cs="宋体"/>
          <w:kern w:val="0"/>
          <w:sz w:val="32"/>
          <w:szCs w:val="32"/>
          <w:lang w:eastAsia="zh-CN"/>
        </w:rPr>
        <w:t>一</w:t>
      </w:r>
      <w:r>
        <w:rPr>
          <w:rFonts w:hint="eastAsia" w:ascii="仿宋_GB2312" w:hAnsi="仿宋" w:eastAsia="仿宋_GB2312" w:cs="宋体"/>
          <w:kern w:val="0"/>
          <w:sz w:val="32"/>
          <w:szCs w:val="32"/>
        </w:rPr>
        <w:t>局主要职能为区域经济发展提供招商引资服务。制定并贯彻落实招商引资的方针和优惠政策；组织产业发展、项目入区、招商引资推介；管理协调招商引资有关工作。</w:t>
      </w:r>
    </w:p>
    <w:p>
      <w:pPr>
        <w:widowControl/>
        <w:numPr>
          <w:ilvl w:val="0"/>
          <w:numId w:val="1"/>
        </w:numPr>
        <w:ind w:firstLine="643" w:firstLineChars="200"/>
        <w:jc w:val="left"/>
        <w:rPr>
          <w:rFonts w:hint="eastAsia" w:ascii="楷体" w:hAnsi="楷体" w:eastAsia="楷体" w:cs="楷体"/>
          <w:b/>
          <w:bCs/>
          <w:color w:val="000000"/>
          <w:kern w:val="0"/>
          <w:sz w:val="32"/>
          <w:szCs w:val="32"/>
          <w:lang w:eastAsia="zh-CN" w:bidi="ar"/>
        </w:rPr>
      </w:pPr>
      <w:r>
        <w:rPr>
          <w:rFonts w:hint="eastAsia" w:ascii="楷体" w:hAnsi="楷体" w:eastAsia="楷体" w:cs="楷体"/>
          <w:b/>
          <w:bCs/>
          <w:color w:val="000000"/>
          <w:kern w:val="0"/>
          <w:sz w:val="32"/>
          <w:szCs w:val="32"/>
          <w:lang w:bidi="ar"/>
        </w:rPr>
        <w:t>内设机构</w:t>
      </w:r>
      <w:r>
        <w:rPr>
          <w:rFonts w:hint="eastAsia" w:ascii="楷体" w:hAnsi="楷体" w:eastAsia="楷体" w:cs="楷体"/>
          <w:b/>
          <w:bCs/>
          <w:color w:val="000000"/>
          <w:kern w:val="0"/>
          <w:sz w:val="32"/>
          <w:szCs w:val="32"/>
          <w:lang w:eastAsia="zh-CN" w:bidi="ar"/>
        </w:rPr>
        <w:t>。</w:t>
      </w:r>
    </w:p>
    <w:p>
      <w:pPr>
        <w:adjustRightInd w:val="0"/>
        <w:snapToGrid w:val="0"/>
        <w:spacing w:line="600" w:lineRule="exact"/>
        <w:ind w:firstLine="640"/>
        <w:rPr>
          <w:rFonts w:hint="default" w:ascii="楷体" w:hAnsi="楷体" w:eastAsia="楷体" w:cs="楷体"/>
          <w:b/>
          <w:bCs/>
          <w:color w:val="000000"/>
          <w:kern w:val="0"/>
          <w:sz w:val="32"/>
          <w:szCs w:val="32"/>
          <w:lang w:val="en-US" w:eastAsia="zh-CN" w:bidi="ar"/>
        </w:rPr>
      </w:pPr>
      <w:r>
        <w:rPr>
          <w:rFonts w:hint="eastAsia" w:ascii="仿宋_GB2312" w:hAnsi="仿宋_GB2312" w:eastAsia="仿宋_GB2312" w:cs="仿宋_GB2312"/>
          <w:sz w:val="32"/>
          <w:szCs w:val="32"/>
        </w:rPr>
        <w:t>杨陵区招商服务</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局为区政府工作部门，设局长1名，副局长2名，局内设有办公室和招商业务组。</w:t>
      </w:r>
    </w:p>
    <w:p>
      <w:pPr>
        <w:widowControl/>
        <w:ind w:firstLine="640" w:firstLineChars="200"/>
        <w:jc w:val="left"/>
        <w:rPr>
          <w:rFonts w:hint="eastAsia"/>
        </w:rPr>
      </w:pPr>
      <w:r>
        <w:rPr>
          <w:rFonts w:ascii="黑体" w:hAnsi="宋体" w:eastAsia="黑体"/>
          <w:color w:val="000000"/>
          <w:kern w:val="0"/>
          <w:sz w:val="32"/>
          <w:szCs w:val="32"/>
          <w:lang w:bidi="ar"/>
        </w:rPr>
        <w:t>二、</w:t>
      </w:r>
      <w:r>
        <w:rPr>
          <w:rFonts w:hint="eastAsia" w:ascii="黑体" w:hAnsi="宋体" w:eastAsia="黑体"/>
          <w:color w:val="000000"/>
          <w:kern w:val="0"/>
          <w:sz w:val="32"/>
          <w:szCs w:val="32"/>
          <w:lang w:bidi="ar"/>
        </w:rPr>
        <w:t>部门决算单位构成</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纳入2019年本部门决算编制范围的单位共</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个，包括本级</w:t>
      </w:r>
      <w:r>
        <w:rPr>
          <w:rFonts w:hint="eastAsia" w:ascii="仿宋_GB2312" w:hAnsi="仿宋_GB2312" w:eastAsia="仿宋_GB2312" w:cs="仿宋_GB2312"/>
          <w:sz w:val="32"/>
          <w:szCs w:val="32"/>
          <w:lang w:val="en-US" w:eastAsia="zh-CN"/>
        </w:rPr>
        <w:t>1个</w:t>
      </w:r>
      <w:r>
        <w:rPr>
          <w:rFonts w:ascii="仿宋_GB2312" w:hAnsi="仿宋_GB2312" w:eastAsia="仿宋_GB2312" w:cs="仿宋_GB2312"/>
          <w:color w:val="000000"/>
          <w:kern w:val="0"/>
          <w:sz w:val="31"/>
          <w:szCs w:val="31"/>
          <w:lang w:bidi="ar"/>
        </w:rPr>
        <w:t>预算</w:t>
      </w:r>
      <w:r>
        <w:rPr>
          <w:rFonts w:hint="eastAsia" w:ascii="仿宋_GB2312" w:hAnsi="仿宋_GB2312" w:eastAsia="仿宋_GB2312" w:cs="仿宋_GB2312"/>
          <w:sz w:val="32"/>
          <w:szCs w:val="32"/>
        </w:rPr>
        <w:t>单位：</w:t>
      </w:r>
    </w:p>
    <w:tbl>
      <w:tblPr>
        <w:tblStyle w:val="8"/>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7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黑体" w:hAnsi="黑体" w:eastAsia="黑体"/>
                <w:sz w:val="32"/>
                <w:szCs w:val="32"/>
              </w:rPr>
            </w:pPr>
            <w:r>
              <w:rPr>
                <w:rFonts w:hint="eastAsia" w:ascii="黑体" w:hAnsi="黑体" w:eastAsia="黑体"/>
                <w:sz w:val="32"/>
                <w:szCs w:val="32"/>
              </w:rPr>
              <w:t>序号</w:t>
            </w:r>
          </w:p>
        </w:tc>
        <w:tc>
          <w:tcPr>
            <w:tcW w:w="7278" w:type="dxa"/>
            <w:vAlign w:val="center"/>
          </w:tcPr>
          <w:p>
            <w:pPr>
              <w:jc w:val="center"/>
              <w:rPr>
                <w:rFonts w:ascii="黑体" w:hAnsi="黑体" w:eastAsia="黑体"/>
                <w:sz w:val="32"/>
                <w:szCs w:val="32"/>
              </w:rPr>
            </w:pPr>
            <w:r>
              <w:rPr>
                <w:rFonts w:hint="eastAsia" w:ascii="黑体" w:hAnsi="黑体" w:eastAsia="黑体"/>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7278"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杨陵区招商服务一局</w:t>
            </w:r>
            <w:r>
              <w:rPr>
                <w:rFonts w:hint="eastAsia" w:ascii="仿宋_GB2312" w:hAnsi="仿宋_GB2312" w:eastAsia="仿宋_GB2312" w:cs="仿宋_GB2312"/>
                <w:sz w:val="32"/>
                <w:szCs w:val="32"/>
              </w:rPr>
              <w:t>（本级）</w:t>
            </w:r>
          </w:p>
        </w:tc>
      </w:tr>
    </w:tbl>
    <w:p>
      <w:pPr>
        <w:ind w:firstLine="640"/>
        <w:rPr>
          <w:rFonts w:ascii="黑体" w:hAnsi="黑体" w:eastAsia="黑体"/>
          <w:b/>
          <w:bCs/>
          <w:sz w:val="32"/>
          <w:szCs w:val="32"/>
        </w:rPr>
      </w:pPr>
      <w:r>
        <w:rPr>
          <w:rFonts w:hint="eastAsia" w:ascii="黑体" w:hAnsi="黑体" w:eastAsia="黑体"/>
          <w:b/>
          <w:bCs/>
          <w:sz w:val="32"/>
          <w:szCs w:val="32"/>
        </w:rPr>
        <w:t>三、部门人员情况</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截止2019年底，本部门人员编制</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人，其中行政编制</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人、事业编制</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人</w:t>
      </w:r>
      <w:r>
        <w:rPr>
          <w:rFonts w:hint="eastAsia" w:ascii="仿宋_GB2312" w:hAnsi="仿宋" w:eastAsia="仿宋_GB2312" w:cs="宋体"/>
          <w:kern w:val="0"/>
          <w:sz w:val="32"/>
          <w:szCs w:val="32"/>
        </w:rPr>
        <w:t>（参照公务员管理）</w:t>
      </w:r>
      <w:r>
        <w:rPr>
          <w:rFonts w:hint="eastAsia" w:ascii="仿宋_GB2312" w:hAnsi="仿宋_GB2312" w:eastAsia="仿宋_GB2312" w:cs="仿宋_GB2312"/>
          <w:sz w:val="32"/>
          <w:szCs w:val="32"/>
        </w:rPr>
        <w:t>；实有人员</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人，其中行政</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人、事业</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人</w:t>
      </w:r>
      <w:r>
        <w:rPr>
          <w:rFonts w:hint="eastAsia" w:ascii="仿宋_GB2312" w:hAnsi="仿宋" w:eastAsia="仿宋_GB2312" w:cs="宋体"/>
          <w:kern w:val="0"/>
          <w:sz w:val="32"/>
          <w:szCs w:val="32"/>
        </w:rPr>
        <w:t>（参照公务员管理）</w:t>
      </w:r>
      <w:r>
        <w:rPr>
          <w:rFonts w:hint="eastAsia" w:ascii="仿宋_GB2312" w:hAnsi="仿宋_GB2312" w:eastAsia="仿宋_GB2312" w:cs="仿宋_GB2312"/>
          <w:sz w:val="32"/>
          <w:szCs w:val="32"/>
        </w:rPr>
        <w:t>。单位管理的离退休人员</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人。</w:t>
      </w:r>
    </w:p>
    <w:p>
      <w:pPr>
        <w:jc w:val="center"/>
        <w:rPr>
          <w:rFonts w:hint="eastAsia" w:ascii="仿宋_GB2312" w:hAnsi="仿宋_GB2312" w:eastAsia="仿宋_GB2312" w:cs="仿宋_GB2312"/>
          <w:sz w:val="32"/>
          <w:szCs w:val="32"/>
        </w:rPr>
      </w:pPr>
      <w:r>
        <w:drawing>
          <wp:inline distT="0" distB="0" distL="114300" distR="114300">
            <wp:extent cx="4572000" cy="274320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jc w:val="center"/>
        <w:rPr>
          <w:rFonts w:hint="eastAsia" w:ascii="仿宋_GB2312" w:hAnsi="仿宋_GB2312" w:eastAsia="仿宋_GB2312" w:cs="仿宋_GB2312"/>
          <w:sz w:val="32"/>
          <w:szCs w:val="32"/>
        </w:rPr>
      </w:pPr>
      <w:r>
        <w:drawing>
          <wp:inline distT="0" distB="0" distL="114300" distR="114300">
            <wp:extent cx="4572000" cy="2743200"/>
            <wp:effectExtent l="4445" t="4445" r="14605" b="1460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widowControl/>
        <w:jc w:val="center"/>
        <w:rPr>
          <w:rFonts w:ascii="黑体" w:hAnsi="宋体" w:eastAsia="黑体"/>
          <w:color w:val="000000"/>
          <w:kern w:val="0"/>
          <w:sz w:val="44"/>
          <w:szCs w:val="44"/>
          <w:lang w:bidi="ar"/>
        </w:rPr>
      </w:pPr>
    </w:p>
    <w:p>
      <w:pPr>
        <w:widowControl/>
        <w:jc w:val="center"/>
        <w:rPr>
          <w:rFonts w:ascii="黑体" w:hAnsi="宋体" w:eastAsia="黑体"/>
          <w:color w:val="000000"/>
          <w:kern w:val="0"/>
          <w:sz w:val="44"/>
          <w:szCs w:val="44"/>
          <w:lang w:bidi="ar"/>
        </w:rPr>
      </w:pPr>
    </w:p>
    <w:p>
      <w:pPr>
        <w:widowControl/>
        <w:jc w:val="center"/>
        <w:rPr>
          <w:rFonts w:ascii="黑体" w:hAnsi="宋体" w:eastAsia="黑体"/>
          <w:color w:val="000000"/>
          <w:kern w:val="0"/>
          <w:sz w:val="44"/>
          <w:szCs w:val="44"/>
          <w:lang w:bidi="ar"/>
        </w:rPr>
      </w:pPr>
    </w:p>
    <w:p>
      <w:pPr>
        <w:widowControl/>
        <w:jc w:val="center"/>
        <w:rPr>
          <w:rFonts w:ascii="黑体" w:hAnsi="宋体" w:eastAsia="黑体"/>
          <w:color w:val="000000"/>
          <w:kern w:val="0"/>
          <w:sz w:val="44"/>
          <w:szCs w:val="44"/>
          <w:lang w:bidi="ar"/>
        </w:rPr>
      </w:pPr>
    </w:p>
    <w:p>
      <w:pPr>
        <w:widowControl/>
        <w:jc w:val="center"/>
        <w:rPr>
          <w:rFonts w:ascii="黑体" w:hAnsi="宋体" w:eastAsia="黑体"/>
          <w:color w:val="000000"/>
          <w:kern w:val="0"/>
          <w:sz w:val="44"/>
          <w:szCs w:val="44"/>
          <w:lang w:bidi="ar"/>
        </w:rPr>
      </w:pPr>
    </w:p>
    <w:p>
      <w:pPr>
        <w:widowControl/>
        <w:jc w:val="center"/>
        <w:rPr>
          <w:rFonts w:ascii="黑体" w:hAnsi="宋体" w:eastAsia="黑体"/>
          <w:color w:val="000000"/>
          <w:kern w:val="0"/>
          <w:sz w:val="44"/>
          <w:szCs w:val="44"/>
          <w:lang w:bidi="ar"/>
        </w:rPr>
      </w:pPr>
    </w:p>
    <w:p>
      <w:pPr>
        <w:widowControl/>
        <w:jc w:val="center"/>
        <w:rPr>
          <w:sz w:val="44"/>
          <w:szCs w:val="44"/>
        </w:rPr>
      </w:pPr>
      <w:r>
        <w:rPr>
          <w:rFonts w:ascii="黑体" w:hAnsi="宋体" w:eastAsia="黑体"/>
          <w:color w:val="000000"/>
          <w:kern w:val="0"/>
          <w:sz w:val="44"/>
          <w:szCs w:val="44"/>
          <w:lang w:bidi="ar"/>
        </w:rPr>
        <w:t>第二部分 2019年度部门决算表</w:t>
      </w:r>
    </w:p>
    <w:tbl>
      <w:tblPr>
        <w:tblStyle w:val="7"/>
        <w:tblpPr w:leftFromText="180" w:rightFromText="180" w:vertAnchor="text" w:horzAnchor="page" w:tblpX="1472" w:tblpY="1123"/>
        <w:tblOverlap w:val="never"/>
        <w:tblW w:w="9000" w:type="dxa"/>
        <w:tblInd w:w="0" w:type="dxa"/>
        <w:tblLayout w:type="fixed"/>
        <w:tblCellMar>
          <w:top w:w="0" w:type="dxa"/>
          <w:left w:w="0" w:type="dxa"/>
          <w:bottom w:w="0" w:type="dxa"/>
          <w:right w:w="0" w:type="dxa"/>
        </w:tblCellMar>
      </w:tblPr>
      <w:tblGrid>
        <w:gridCol w:w="735"/>
        <w:gridCol w:w="4110"/>
        <w:gridCol w:w="1047"/>
        <w:gridCol w:w="3108"/>
      </w:tblGrid>
      <w:tr>
        <w:tblPrEx>
          <w:tblCellMar>
            <w:top w:w="0" w:type="dxa"/>
            <w:left w:w="0" w:type="dxa"/>
            <w:bottom w:w="0" w:type="dxa"/>
            <w:right w:w="0" w:type="dxa"/>
          </w:tblCellMar>
        </w:tblPrEx>
        <w:trPr>
          <w:trHeight w:val="64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序号</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内容</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kern w:val="0"/>
                <w:sz w:val="24"/>
                <w:lang w:bidi="ar"/>
              </w:rPr>
            </w:pPr>
            <w:r>
              <w:rPr>
                <w:rFonts w:hint="eastAsia" w:ascii="黑体" w:hAnsi="宋体" w:eastAsia="黑体"/>
                <w:color w:val="000000"/>
                <w:kern w:val="0"/>
                <w:sz w:val="24"/>
                <w:lang w:bidi="ar"/>
              </w:rPr>
              <w:t>是否</w:t>
            </w:r>
          </w:p>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空表</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eastAsia="zh-CN" w:bidi="ar"/>
              </w:rPr>
              <w:t>表格为空的</w:t>
            </w:r>
            <w:r>
              <w:rPr>
                <w:rFonts w:hint="eastAsia" w:ascii="黑体" w:hAnsi="宋体" w:eastAsia="黑体"/>
                <w:color w:val="000000"/>
                <w:kern w:val="0"/>
                <w:sz w:val="24"/>
                <w:lang w:bidi="ar"/>
              </w:rPr>
              <w:t>理由</w:t>
            </w: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表1</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表2</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收入决算表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表3</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支出决算表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表4</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财政拨款收入支出决算总表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表5</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一般公共预算财政拨款支出决算表</w:t>
            </w:r>
          </w:p>
          <w:p>
            <w:pPr>
              <w:widowControl/>
              <w:jc w:val="left"/>
              <w:rPr>
                <w:rFonts w:ascii="宋体" w:hAnsi="宋体" w:cs="宋体"/>
                <w:color w:val="000000"/>
                <w:kern w:val="0"/>
                <w:sz w:val="24"/>
                <w:lang w:bidi="ar"/>
              </w:rPr>
            </w:pPr>
            <w:r>
              <w:rPr>
                <w:rFonts w:hint="eastAsia" w:ascii="宋体" w:hAnsi="宋体" w:cs="宋体"/>
                <w:color w:val="000000"/>
                <w:kern w:val="0"/>
                <w:sz w:val="24"/>
                <w:lang w:bidi="ar"/>
              </w:rPr>
              <w:t>（按功能分类科目）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表6</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一般公共预算财政拨款基本支出决算表 （按经济分类科目）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表7</w:t>
            </w:r>
          </w:p>
        </w:tc>
        <w:tc>
          <w:tcPr>
            <w:tcW w:w="411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一般公共预算财政拨款“三公”经费及会议费、培训费支出决算表</w:t>
            </w:r>
          </w:p>
        </w:tc>
        <w:tc>
          <w:tcPr>
            <w:tcW w:w="10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表8</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hint="eastAsia" w:ascii="宋体" w:hAnsi="宋体" w:cs="宋体"/>
                <w:color w:val="000000"/>
                <w:kern w:val="0"/>
                <w:sz w:val="24"/>
                <w:lang w:bidi="ar"/>
              </w:rPr>
            </w:pPr>
            <w:r>
              <w:rPr>
                <w:rFonts w:hint="eastAsia" w:ascii="宋体" w:hAnsi="宋体" w:cs="宋体"/>
                <w:color w:val="000000"/>
                <w:kern w:val="0"/>
                <w:sz w:val="24"/>
                <w:lang w:bidi="ar"/>
              </w:rPr>
              <w:t>政府性基金预算财政拨款收入支出</w:t>
            </w:r>
          </w:p>
          <w:p>
            <w:pPr>
              <w:widowControl/>
              <w:jc w:val="left"/>
              <w:rPr>
                <w:rFonts w:ascii="宋体" w:hAnsi="宋体" w:cs="宋体"/>
                <w:color w:val="000000"/>
                <w:sz w:val="24"/>
              </w:rPr>
            </w:pPr>
            <w:r>
              <w:rPr>
                <w:rFonts w:hint="eastAsia" w:ascii="宋体" w:hAnsi="宋体" w:cs="宋体"/>
                <w:color w:val="000000"/>
                <w:kern w:val="0"/>
                <w:sz w:val="24"/>
                <w:lang w:bidi="ar"/>
              </w:rPr>
              <w:t>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eastAsia="zh-CN"/>
              </w:rPr>
              <w:t>是</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kern w:val="0"/>
                <w:sz w:val="24"/>
                <w:lang w:eastAsia="zh-CN" w:bidi="ar"/>
              </w:rPr>
              <w:t>本单位未涉及</w:t>
            </w:r>
          </w:p>
        </w:tc>
      </w:tr>
    </w:tbl>
    <w:p>
      <w:pPr>
        <w:widowControl/>
        <w:rPr>
          <w:rFonts w:ascii="黑体" w:hAnsi="宋体" w:eastAsia="黑体"/>
          <w:color w:val="000000"/>
          <w:kern w:val="0"/>
          <w:sz w:val="44"/>
          <w:szCs w:val="44"/>
          <w:lang w:bidi="ar"/>
        </w:rPr>
      </w:pPr>
    </w:p>
    <w:p>
      <w:pPr>
        <w:widowControl/>
        <w:rPr>
          <w:rFonts w:ascii="黑体" w:hAnsi="宋体" w:eastAsia="黑体"/>
          <w:color w:val="000000"/>
          <w:kern w:val="0"/>
          <w:sz w:val="44"/>
          <w:szCs w:val="44"/>
          <w:lang w:bidi="ar"/>
        </w:rPr>
      </w:pPr>
    </w:p>
    <w:p>
      <w:pPr>
        <w:widowControl/>
        <w:jc w:val="center"/>
        <w:textAlignment w:val="center"/>
        <w:rPr>
          <w:rFonts w:ascii="宋体" w:hAnsi="宋体" w:cs="宋体"/>
          <w:b/>
          <w:color w:val="000000"/>
          <w:kern w:val="0"/>
          <w:sz w:val="40"/>
          <w:szCs w:val="40"/>
          <w:lang w:bidi="ar"/>
        </w:rPr>
      </w:pPr>
      <w:r>
        <w:rPr>
          <w:rFonts w:hint="eastAsia" w:ascii="宋体" w:hAnsi="宋体" w:cs="宋体"/>
          <w:b/>
          <w:color w:val="000000"/>
          <w:kern w:val="0"/>
          <w:sz w:val="40"/>
          <w:szCs w:val="40"/>
          <w:lang w:bidi="ar"/>
        </w:rPr>
        <w:br w:type="page"/>
      </w:r>
    </w:p>
    <w:p>
      <w:pPr>
        <w:jc w:val="center"/>
        <w:rPr>
          <w:rFonts w:ascii="宋体" w:hAnsi="宋体" w:cs="宋体"/>
          <w:b/>
          <w:bCs/>
          <w:sz w:val="32"/>
          <w:szCs w:val="32"/>
        </w:rPr>
      </w:pPr>
      <w:r>
        <w:rPr>
          <w:rFonts w:hint="eastAsia" w:ascii="宋体" w:hAnsi="宋体" w:cs="宋体"/>
          <w:b/>
          <w:bCs/>
          <w:sz w:val="32"/>
          <w:szCs w:val="32"/>
        </w:rPr>
        <w:t>收入支出决算总表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公开01表</w:t>
      </w:r>
    </w:p>
    <w:p>
      <w:pPr>
        <w:rPr>
          <w:rFonts w:ascii="宋体" w:hAnsi="宋体" w:cs="宋体"/>
          <w:b/>
          <w:bCs/>
          <w:szCs w:val="21"/>
        </w:rPr>
      </w:pPr>
      <w:r>
        <w:rPr>
          <w:rFonts w:hint="eastAsia" w:ascii="宋体" w:hAnsi="宋体" w:cs="宋体"/>
          <w:b/>
          <w:bCs/>
          <w:szCs w:val="21"/>
        </w:rPr>
        <w:t>编制部门：                                                            金额单位：万元</w:t>
      </w:r>
    </w:p>
    <w:tbl>
      <w:tblPr>
        <w:tblStyle w:val="7"/>
        <w:tblW w:w="8884" w:type="dxa"/>
        <w:tblInd w:w="0" w:type="dxa"/>
        <w:tblLayout w:type="fixed"/>
        <w:tblCellMar>
          <w:top w:w="15" w:type="dxa"/>
          <w:left w:w="15" w:type="dxa"/>
          <w:bottom w:w="15" w:type="dxa"/>
          <w:right w:w="15" w:type="dxa"/>
        </w:tblCellMar>
      </w:tblPr>
      <w:tblGrid>
        <w:gridCol w:w="3388"/>
        <w:gridCol w:w="1080"/>
        <w:gridCol w:w="3090"/>
        <w:gridCol w:w="1326"/>
      </w:tblGrid>
      <w:tr>
        <w:tblPrEx>
          <w:tblCellMar>
            <w:top w:w="15" w:type="dxa"/>
            <w:left w:w="15" w:type="dxa"/>
            <w:bottom w:w="15" w:type="dxa"/>
            <w:right w:w="15" w:type="dxa"/>
          </w:tblCellMar>
        </w:tblPrEx>
        <w:trPr>
          <w:trHeight w:val="426" w:hRule="atLeast"/>
        </w:trPr>
        <w:tc>
          <w:tcPr>
            <w:tcW w:w="44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    入</w:t>
            </w:r>
          </w:p>
        </w:tc>
        <w:tc>
          <w:tcPr>
            <w:tcW w:w="441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    出</w:t>
            </w:r>
          </w:p>
        </w:tc>
      </w:tr>
      <w:tr>
        <w:tblPrEx>
          <w:tblCellMar>
            <w:top w:w="15" w:type="dxa"/>
            <w:left w:w="15" w:type="dxa"/>
            <w:bottom w:w="15" w:type="dxa"/>
            <w:right w:w="15" w:type="dxa"/>
          </w:tblCellMar>
        </w:tblPrEx>
        <w:trPr>
          <w:trHeight w:val="378"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0"/>
                <w:szCs w:val="20"/>
                <w:u w:val="none"/>
                <w:lang w:val="en-US" w:eastAsia="zh-CN" w:bidi="ar"/>
              </w:rPr>
              <w:t>1、一般公共预算财政拨款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147.7</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1、一般公共服务支出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171.41</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政府性基金预算财政拨款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2、外交支出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 xml:space="preserve">国有资本经营预算财政拨款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3、国防支出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4、</w:t>
            </w:r>
            <w:r>
              <w:rPr>
                <w:rFonts w:hint="eastAsia" w:ascii="宋体" w:hAnsi="宋体" w:eastAsia="宋体" w:cs="宋体"/>
                <w:i w:val="0"/>
                <w:color w:val="000000"/>
                <w:kern w:val="0"/>
                <w:sz w:val="20"/>
                <w:szCs w:val="20"/>
                <w:u w:val="none"/>
                <w:lang w:val="en-US" w:eastAsia="zh-CN" w:bidi="ar"/>
              </w:rPr>
              <w:t>上级补助收入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4、公共安全支出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5、</w:t>
            </w:r>
            <w:r>
              <w:rPr>
                <w:rFonts w:hint="eastAsia" w:ascii="宋体" w:hAnsi="宋体" w:eastAsia="宋体" w:cs="宋体"/>
                <w:i w:val="0"/>
                <w:color w:val="000000"/>
                <w:kern w:val="0"/>
                <w:sz w:val="20"/>
                <w:szCs w:val="20"/>
                <w:u w:val="none"/>
                <w:lang w:val="en-US" w:eastAsia="zh-CN" w:bidi="ar"/>
              </w:rPr>
              <w:t>事业收入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5、教育支出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6</w:t>
            </w:r>
            <w:r>
              <w:rPr>
                <w:rFonts w:hint="eastAsia" w:ascii="宋体" w:hAnsi="宋体" w:eastAsia="宋体" w:cs="宋体"/>
                <w:i w:val="0"/>
                <w:color w:val="000000"/>
                <w:kern w:val="0"/>
                <w:sz w:val="20"/>
                <w:szCs w:val="20"/>
                <w:u w:val="none"/>
                <w:lang w:val="en-US" w:eastAsia="zh-CN" w:bidi="ar"/>
              </w:rPr>
              <w:t>、经营收入</w:t>
            </w: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6、科学技术支出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7</w:t>
            </w:r>
            <w:r>
              <w:rPr>
                <w:rFonts w:hint="eastAsia" w:ascii="宋体" w:hAnsi="宋体" w:eastAsia="宋体" w:cs="宋体"/>
                <w:i w:val="0"/>
                <w:color w:val="000000"/>
                <w:kern w:val="0"/>
                <w:sz w:val="20"/>
                <w:szCs w:val="20"/>
                <w:u w:val="none"/>
                <w:lang w:val="en-US" w:eastAsia="zh-CN" w:bidi="ar"/>
              </w:rPr>
              <w:t>、附属单位上缴收入</w:t>
            </w: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7、文化</w:t>
            </w:r>
            <w:r>
              <w:rPr>
                <w:rFonts w:hint="eastAsia" w:ascii="宋体" w:hAnsi="宋体" w:cs="宋体"/>
                <w:color w:val="000000"/>
                <w:kern w:val="0"/>
                <w:szCs w:val="21"/>
                <w:lang w:eastAsia="zh-CN"/>
              </w:rPr>
              <w:t>旅游</w:t>
            </w:r>
            <w:r>
              <w:rPr>
                <w:rFonts w:hint="eastAsia" w:ascii="宋体" w:hAnsi="宋体" w:cs="宋体"/>
                <w:color w:val="000000"/>
                <w:kern w:val="0"/>
                <w:szCs w:val="21"/>
              </w:rPr>
              <w:t>体育与传媒支出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8</w:t>
            </w:r>
            <w:r>
              <w:rPr>
                <w:rFonts w:hint="eastAsia" w:ascii="宋体" w:hAnsi="宋体" w:eastAsia="宋体" w:cs="宋体"/>
                <w:i w:val="0"/>
                <w:color w:val="000000"/>
                <w:kern w:val="0"/>
                <w:sz w:val="20"/>
                <w:szCs w:val="20"/>
                <w:u w:val="none"/>
                <w:lang w:val="en-US" w:eastAsia="zh-CN" w:bidi="ar"/>
              </w:rPr>
              <w:t>、其他收入</w:t>
            </w: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119.19</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8、社会保障和就业支出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9、</w:t>
            </w:r>
            <w:r>
              <w:rPr>
                <w:rFonts w:hint="eastAsia" w:ascii="宋体" w:hAnsi="宋体" w:cs="宋体"/>
                <w:color w:val="000000"/>
                <w:kern w:val="0"/>
                <w:szCs w:val="21"/>
                <w:lang w:eastAsia="zh-CN"/>
              </w:rPr>
              <w:t>卫生健康</w:t>
            </w:r>
            <w:r>
              <w:rPr>
                <w:rFonts w:hint="eastAsia" w:ascii="宋体" w:hAnsi="宋体" w:cs="宋体"/>
                <w:color w:val="000000"/>
                <w:kern w:val="0"/>
                <w:szCs w:val="21"/>
              </w:rPr>
              <w:t>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49"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10、节能环保支出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3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 xml:space="preserve"> </w:t>
            </w: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11、城乡社区支出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12、农林水支出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7"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13、交通运输支出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14、资源勘探信息等支出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97.15</w:t>
            </w: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15、商业服务业等支出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98"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16、金融支出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17、援助其他地区支出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1"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18、</w:t>
            </w:r>
            <w:r>
              <w:rPr>
                <w:rFonts w:hint="eastAsia" w:ascii="宋体" w:hAnsi="宋体" w:cs="宋体"/>
                <w:color w:val="000000"/>
                <w:kern w:val="0"/>
                <w:szCs w:val="21"/>
                <w:lang w:eastAsia="zh-CN"/>
              </w:rPr>
              <w:t>自然资源</w:t>
            </w:r>
            <w:r>
              <w:rPr>
                <w:rFonts w:hint="eastAsia" w:ascii="宋体" w:hAnsi="宋体" w:cs="宋体"/>
                <w:color w:val="000000"/>
                <w:kern w:val="0"/>
                <w:szCs w:val="21"/>
              </w:rPr>
              <w:t>海洋气象等支出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4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19、住房保障支出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20、粮油物资储备支出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15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Cs w:val="21"/>
                <w:lang w:eastAsia="zh-CN"/>
              </w:rPr>
            </w:pPr>
            <w:r>
              <w:rPr>
                <w:rFonts w:hint="eastAsia" w:ascii="宋体" w:hAnsi="宋体" w:cs="宋体"/>
                <w:color w:val="000000"/>
                <w:kern w:val="0"/>
                <w:szCs w:val="21"/>
              </w:rPr>
              <w:t xml:space="preserve">  21、</w:t>
            </w:r>
            <w:r>
              <w:rPr>
                <w:rFonts w:hint="eastAsia" w:ascii="宋体" w:hAnsi="宋体" w:cs="宋体"/>
                <w:color w:val="000000"/>
                <w:kern w:val="0"/>
                <w:szCs w:val="21"/>
                <w:lang w:eastAsia="zh-CN"/>
              </w:rPr>
              <w:t>灾害防治及应急管理支出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22、</w:t>
            </w:r>
            <w:r>
              <w:rPr>
                <w:rFonts w:hint="eastAsia" w:ascii="宋体" w:hAnsi="宋体" w:cs="宋体"/>
                <w:color w:val="000000"/>
                <w:kern w:val="0"/>
                <w:szCs w:val="21"/>
              </w:rPr>
              <w:t>其他支出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5" w:hRule="atLeast"/>
        </w:trPr>
        <w:tc>
          <w:tcPr>
            <w:tcW w:w="3388"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080" w:type="dxa"/>
            <w:tcBorders>
              <w:top w:val="single" w:color="000000" w:sz="4" w:space="0"/>
              <w:left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lang w:val="en-US" w:eastAsia="zh-CN"/>
              </w:rPr>
              <w:t>266.89</w:t>
            </w:r>
            <w:r>
              <w:rPr>
                <w:rFonts w:hint="eastAsia" w:ascii="宋体" w:hAnsi="宋体" w:cs="宋体"/>
                <w:color w:val="000000"/>
                <w:kern w:val="0"/>
                <w:szCs w:val="21"/>
              </w:rPr>
              <w:t xml:space="preserve"> </w:t>
            </w:r>
          </w:p>
        </w:tc>
        <w:tc>
          <w:tcPr>
            <w:tcW w:w="3090"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326" w:type="dxa"/>
            <w:tcBorders>
              <w:top w:val="single" w:color="000000" w:sz="4" w:space="0"/>
              <w:left w:val="single" w:color="000000" w:sz="4" w:space="0"/>
              <w:right w:val="single" w:color="000000" w:sz="4" w:space="0"/>
            </w:tcBorders>
            <w:vAlign w:val="center"/>
          </w:tcPr>
          <w:p>
            <w:pPr>
              <w:jc w:val="right"/>
              <w:rPr>
                <w:rFonts w:hint="default" w:ascii="宋体" w:hAnsi="宋体" w:eastAsia="宋体" w:cs="宋体"/>
                <w:b/>
                <w:color w:val="000000"/>
                <w:szCs w:val="21"/>
                <w:lang w:val="en-US" w:eastAsia="zh-CN"/>
              </w:rPr>
            </w:pPr>
            <w:r>
              <w:rPr>
                <w:rFonts w:hint="eastAsia" w:ascii="宋体" w:hAnsi="宋体" w:cs="宋体"/>
                <w:color w:val="000000"/>
                <w:szCs w:val="21"/>
                <w:lang w:val="en-US" w:eastAsia="zh-CN"/>
              </w:rPr>
              <w:t>268.55</w:t>
            </w:r>
          </w:p>
        </w:tc>
      </w:tr>
      <w:tr>
        <w:tblPrEx>
          <w:tblCellMar>
            <w:top w:w="15" w:type="dxa"/>
            <w:left w:w="15" w:type="dxa"/>
            <w:bottom w:w="15" w:type="dxa"/>
            <w:right w:w="15" w:type="dxa"/>
          </w:tblCellMar>
        </w:tblPrEx>
        <w:trPr>
          <w:trHeight w:val="355"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用事业基金弥补收支差额</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Cs/>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 xml:space="preserve">结余分配 </w:t>
            </w:r>
          </w:p>
        </w:tc>
        <w:tc>
          <w:tcPr>
            <w:tcW w:w="132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b/>
                <w:color w:val="000000"/>
                <w:szCs w:val="21"/>
              </w:rPr>
            </w:pPr>
          </w:p>
        </w:tc>
      </w:tr>
      <w:tr>
        <w:tblPrEx>
          <w:tblCellMar>
            <w:top w:w="15" w:type="dxa"/>
            <w:left w:w="15" w:type="dxa"/>
            <w:bottom w:w="15" w:type="dxa"/>
            <w:right w:w="15" w:type="dxa"/>
          </w:tblCellMar>
        </w:tblPrEx>
        <w:trPr>
          <w:trHeight w:val="371"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年初结转和结余</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1.66</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年末结转和结余</w:t>
            </w:r>
          </w:p>
        </w:tc>
        <w:tc>
          <w:tcPr>
            <w:tcW w:w="132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b/>
                <w:color w:val="000000"/>
                <w:szCs w:val="21"/>
              </w:rPr>
            </w:pPr>
          </w:p>
        </w:tc>
      </w:tr>
      <w:tr>
        <w:tblPrEx>
          <w:tblCellMar>
            <w:top w:w="15" w:type="dxa"/>
            <w:left w:w="15" w:type="dxa"/>
            <w:bottom w:w="15" w:type="dxa"/>
            <w:right w:w="15" w:type="dxa"/>
          </w:tblCellMar>
        </w:tblPrEx>
        <w:trPr>
          <w:trHeight w:val="382"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收入总计</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268.55</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支出总计</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color w:val="000000"/>
                <w:szCs w:val="21"/>
                <w:lang w:val="en-US" w:eastAsia="zh-CN"/>
              </w:rPr>
            </w:pPr>
            <w:r>
              <w:rPr>
                <w:rFonts w:hint="eastAsia" w:ascii="宋体" w:hAnsi="宋体" w:cs="宋体"/>
                <w:b w:val="0"/>
                <w:bCs/>
                <w:color w:val="000000"/>
                <w:szCs w:val="21"/>
                <w:lang w:val="en-US" w:eastAsia="zh-CN"/>
              </w:rPr>
              <w:t>268.55</w:t>
            </w:r>
          </w:p>
        </w:tc>
      </w:tr>
    </w:tbl>
    <w:p>
      <w:pPr>
        <w:keepNext w:val="0"/>
        <w:keepLines w:val="0"/>
        <w:widowControl/>
        <w:suppressLineNumbers w:val="0"/>
        <w:jc w:val="left"/>
        <w:rPr>
          <w:rFonts w:ascii="宋体" w:hAnsi="宋体" w:cs="宋体"/>
          <w:sz w:val="48"/>
          <w:szCs w:val="48"/>
        </w:rPr>
      </w:pPr>
      <w:r>
        <w:rPr>
          <w:rFonts w:hint="eastAsia" w:ascii="宋体" w:hAnsi="宋体" w:cs="宋体"/>
          <w:color w:val="000000"/>
          <w:kern w:val="0"/>
          <w:szCs w:val="21"/>
        </w:rPr>
        <w:t>注：本表反映部门本年度的总收支和年末结转结余情况</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收入决算表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公开02表</w:t>
      </w:r>
    </w:p>
    <w:p>
      <w:pPr>
        <w:rPr>
          <w:rFonts w:ascii="宋体" w:hAnsi="宋体" w:cs="宋体"/>
          <w:b/>
          <w:bCs/>
          <w:sz w:val="48"/>
          <w:szCs w:val="48"/>
        </w:rPr>
      </w:pPr>
      <w:r>
        <w:rPr>
          <w:rFonts w:hint="eastAsia" w:ascii="宋体" w:hAnsi="宋体" w:cs="宋体"/>
          <w:b/>
          <w:bCs/>
          <w:szCs w:val="21"/>
        </w:rPr>
        <w:t>编制部门：                                                           金额单位：万元</w:t>
      </w:r>
    </w:p>
    <w:tbl>
      <w:tblPr>
        <w:tblStyle w:val="7"/>
        <w:tblW w:w="8867" w:type="dxa"/>
        <w:tblInd w:w="0" w:type="dxa"/>
        <w:tblLayout w:type="fixed"/>
        <w:tblCellMar>
          <w:top w:w="15" w:type="dxa"/>
          <w:left w:w="15" w:type="dxa"/>
          <w:bottom w:w="15" w:type="dxa"/>
          <w:right w:w="15" w:type="dxa"/>
        </w:tblCellMar>
      </w:tblPr>
      <w:tblGrid>
        <w:gridCol w:w="927"/>
        <w:gridCol w:w="755"/>
        <w:gridCol w:w="855"/>
        <w:gridCol w:w="870"/>
        <w:gridCol w:w="720"/>
        <w:gridCol w:w="720"/>
        <w:gridCol w:w="1470"/>
        <w:gridCol w:w="750"/>
        <w:gridCol w:w="990"/>
        <w:gridCol w:w="810"/>
      </w:tblGrid>
      <w:tr>
        <w:tblPrEx>
          <w:tblCellMar>
            <w:top w:w="15" w:type="dxa"/>
            <w:left w:w="15" w:type="dxa"/>
            <w:bottom w:w="15" w:type="dxa"/>
            <w:right w:w="15" w:type="dxa"/>
          </w:tblCellMar>
        </w:tblPrEx>
        <w:trPr>
          <w:trHeight w:val="439" w:hRule="atLeast"/>
        </w:trPr>
        <w:tc>
          <w:tcPr>
            <w:tcW w:w="16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项目</w:t>
            </w:r>
          </w:p>
        </w:tc>
        <w:tc>
          <w:tcPr>
            <w:tcW w:w="8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本年收入合计</w:t>
            </w:r>
          </w:p>
        </w:tc>
        <w:tc>
          <w:tcPr>
            <w:tcW w:w="8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财政拨款收入</w:t>
            </w:r>
          </w:p>
        </w:tc>
        <w:tc>
          <w:tcPr>
            <w:tcW w:w="7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上级补助收入</w:t>
            </w:r>
          </w:p>
        </w:tc>
        <w:tc>
          <w:tcPr>
            <w:tcW w:w="2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事业收入</w:t>
            </w:r>
          </w:p>
        </w:tc>
        <w:tc>
          <w:tcPr>
            <w:tcW w:w="7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经营</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附属单位上缴收入</w:t>
            </w:r>
          </w:p>
        </w:tc>
        <w:tc>
          <w:tcPr>
            <w:tcW w:w="8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其他</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r>
      <w:tr>
        <w:tblPrEx>
          <w:tblCellMar>
            <w:top w:w="15" w:type="dxa"/>
            <w:left w:w="15" w:type="dxa"/>
            <w:bottom w:w="15" w:type="dxa"/>
            <w:right w:w="15" w:type="dxa"/>
          </w:tblCellMar>
        </w:tblPrEx>
        <w:trPr>
          <w:trHeight w:val="1125" w:hRule="atLeast"/>
        </w:trPr>
        <w:tc>
          <w:tcPr>
            <w:tcW w:w="927"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755"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科目</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名称</w:t>
            </w: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eastAsia="zh-CN"/>
              </w:rPr>
            </w:pPr>
            <w:r>
              <w:rPr>
                <w:rFonts w:hint="eastAsia" w:ascii="宋体" w:hAnsi="宋体" w:cs="宋体"/>
                <w:b/>
                <w:color w:val="000000"/>
                <w:szCs w:val="21"/>
                <w:lang w:eastAsia="zh-CN"/>
              </w:rPr>
              <w:t>小计</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b/>
                <w:color w:val="000000"/>
                <w:szCs w:val="21"/>
                <w:lang w:val="en-US" w:eastAsia="zh-CN"/>
              </w:rPr>
            </w:pPr>
            <w:r>
              <w:rPr>
                <w:rFonts w:hint="eastAsia" w:ascii="宋体" w:hAnsi="宋体" w:cs="宋体"/>
                <w:b/>
                <w:color w:val="000000"/>
                <w:szCs w:val="21"/>
                <w:lang w:eastAsia="zh-CN"/>
              </w:rPr>
              <w:t>其中：教育</w:t>
            </w:r>
            <w:r>
              <w:rPr>
                <w:rFonts w:hint="eastAsia" w:ascii="宋体" w:hAnsi="宋体" w:cs="宋体"/>
                <w:b/>
                <w:color w:val="000000"/>
                <w:szCs w:val="21"/>
                <w:lang w:val="en-US" w:eastAsia="zh-CN"/>
              </w:rPr>
              <w:t xml:space="preserve"> </w:t>
            </w:r>
          </w:p>
          <w:p>
            <w:pPr>
              <w:ind w:firstLine="843" w:firstLineChars="400"/>
              <w:jc w:val="both"/>
              <w:rPr>
                <w:rFonts w:hint="eastAsia" w:ascii="宋体" w:hAnsi="宋体" w:eastAsia="宋体" w:cs="宋体"/>
                <w:b/>
                <w:color w:val="000000"/>
                <w:szCs w:val="21"/>
                <w:lang w:eastAsia="zh-CN"/>
              </w:rPr>
            </w:pPr>
            <w:r>
              <w:rPr>
                <w:rFonts w:hint="eastAsia" w:ascii="宋体" w:hAnsi="宋体" w:cs="宋体"/>
                <w:b/>
                <w:color w:val="000000"/>
                <w:szCs w:val="21"/>
                <w:lang w:eastAsia="zh-CN"/>
              </w:rPr>
              <w:t>收费</w:t>
            </w: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9" w:hRule="atLeast"/>
        </w:trPr>
        <w:tc>
          <w:tcPr>
            <w:tcW w:w="16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266.89</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147.7</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119.19</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201</w:t>
            </w: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5"/>
                <w:szCs w:val="15"/>
              </w:rPr>
            </w:pPr>
            <w:r>
              <w:rPr>
                <w:rFonts w:hint="eastAsia" w:ascii="宋体" w:hAnsi="宋体" w:cs="宋体"/>
                <w:color w:val="000000"/>
                <w:sz w:val="15"/>
                <w:szCs w:val="15"/>
              </w:rPr>
              <w:t>一般公共服务支出</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eastAsia="宋体" w:cs="宋体"/>
                <w:i w:val="0"/>
                <w:color w:val="000000"/>
                <w:kern w:val="0"/>
                <w:sz w:val="22"/>
                <w:szCs w:val="22"/>
                <w:u w:val="none"/>
                <w:lang w:val="en-US" w:eastAsia="zh-CN" w:bidi="ar"/>
              </w:rPr>
              <w:t>171</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4</w:t>
            </w:r>
            <w:r>
              <w:rPr>
                <w:rFonts w:hint="eastAsia" w:ascii="宋体" w:hAnsi="宋体" w:cs="宋体"/>
                <w:i w:val="0"/>
                <w:color w:val="000000"/>
                <w:kern w:val="0"/>
                <w:sz w:val="22"/>
                <w:szCs w:val="22"/>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140</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93</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30.47</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20113</w:t>
            </w:r>
          </w:p>
        </w:tc>
        <w:tc>
          <w:tcPr>
            <w:tcW w:w="7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5"/>
                <w:szCs w:val="15"/>
              </w:rPr>
            </w:pPr>
            <w:r>
              <w:rPr>
                <w:rFonts w:hint="eastAsia" w:ascii="宋体" w:hAnsi="宋体" w:eastAsia="宋体" w:cs="宋体"/>
                <w:i w:val="0"/>
                <w:color w:val="000000"/>
                <w:kern w:val="0"/>
                <w:sz w:val="16"/>
                <w:szCs w:val="16"/>
                <w:u w:val="none"/>
                <w:lang w:val="en-US" w:eastAsia="zh-CN" w:bidi="ar"/>
              </w:rPr>
              <w:t>商贸事务</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171</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41</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140</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93</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30.47</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2011301</w:t>
            </w:r>
          </w:p>
        </w:tc>
        <w:tc>
          <w:tcPr>
            <w:tcW w:w="7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5"/>
                <w:szCs w:val="15"/>
              </w:rPr>
            </w:pPr>
            <w:r>
              <w:rPr>
                <w:rFonts w:hint="eastAsia" w:ascii="宋体" w:hAnsi="宋体" w:eastAsia="宋体" w:cs="宋体"/>
                <w:i w:val="0"/>
                <w:color w:val="000000"/>
                <w:kern w:val="0"/>
                <w:sz w:val="16"/>
                <w:szCs w:val="16"/>
                <w:u w:val="none"/>
                <w:lang w:val="en-US" w:eastAsia="zh-CN" w:bidi="ar"/>
              </w:rPr>
              <w:t>行政运行</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eastAsia="宋体" w:cs="宋体"/>
                <w:i w:val="0"/>
                <w:color w:val="000000"/>
                <w:kern w:val="0"/>
                <w:sz w:val="22"/>
                <w:szCs w:val="22"/>
                <w:u w:val="none"/>
                <w:lang w:val="en-US" w:eastAsia="zh-CN" w:bidi="ar"/>
              </w:rPr>
              <w:t>129</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8</w:t>
            </w:r>
            <w:r>
              <w:rPr>
                <w:rFonts w:hint="eastAsia" w:ascii="宋体" w:hAnsi="宋体" w:cs="宋体"/>
                <w:i w:val="0"/>
                <w:color w:val="000000"/>
                <w:kern w:val="0"/>
                <w:sz w:val="22"/>
                <w:szCs w:val="22"/>
                <w:u w:val="none"/>
                <w:lang w:val="en-US" w:eastAsia="zh-CN" w:bidi="ar"/>
              </w:rPr>
              <w:t>6</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129</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8</w:t>
            </w:r>
            <w:r>
              <w:rPr>
                <w:rFonts w:hint="eastAsia" w:ascii="宋体" w:hAnsi="宋体" w:cs="宋体"/>
                <w:i w:val="0"/>
                <w:color w:val="000000"/>
                <w:kern w:val="0"/>
                <w:sz w:val="22"/>
                <w:szCs w:val="22"/>
                <w:u w:val="none"/>
                <w:lang w:val="en-US" w:eastAsia="zh-CN" w:bidi="ar"/>
              </w:rPr>
              <w:t>6</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2011308</w:t>
            </w:r>
          </w:p>
        </w:tc>
        <w:tc>
          <w:tcPr>
            <w:tcW w:w="7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5"/>
                <w:szCs w:val="15"/>
              </w:rPr>
            </w:pPr>
            <w:r>
              <w:rPr>
                <w:rFonts w:hint="eastAsia" w:ascii="宋体" w:hAnsi="宋体" w:eastAsia="宋体" w:cs="宋体"/>
                <w:i w:val="0"/>
                <w:color w:val="000000"/>
                <w:kern w:val="0"/>
                <w:sz w:val="16"/>
                <w:szCs w:val="16"/>
                <w:u w:val="none"/>
                <w:lang w:val="en-US" w:eastAsia="zh-CN" w:bidi="ar"/>
              </w:rPr>
              <w:t>招商引资</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38</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87</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w:t>
            </w:r>
            <w:r>
              <w:rPr>
                <w:rFonts w:hint="eastAsia" w:ascii="宋体" w:hAnsi="宋体" w:cs="宋体"/>
                <w:i w:val="0"/>
                <w:color w:val="000000"/>
                <w:kern w:val="0"/>
                <w:sz w:val="22"/>
                <w:szCs w:val="22"/>
                <w:u w:val="none"/>
                <w:lang w:val="en-US" w:eastAsia="zh-CN" w:bidi="ar"/>
              </w:rPr>
              <w:t>.4</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30.47</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2011399</w:t>
            </w:r>
          </w:p>
        </w:tc>
        <w:tc>
          <w:tcPr>
            <w:tcW w:w="7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5"/>
                <w:szCs w:val="15"/>
              </w:rPr>
            </w:pPr>
            <w:r>
              <w:rPr>
                <w:rFonts w:hint="eastAsia" w:ascii="宋体" w:hAnsi="宋体" w:eastAsia="宋体" w:cs="宋体"/>
                <w:i w:val="0"/>
                <w:color w:val="000000"/>
                <w:kern w:val="0"/>
                <w:sz w:val="16"/>
                <w:szCs w:val="16"/>
                <w:u w:val="none"/>
                <w:lang w:val="en-US" w:eastAsia="zh-CN" w:bidi="ar"/>
              </w:rPr>
              <w:t>其他商贸事务支出</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eastAsia="宋体" w:cs="宋体"/>
                <w:i w:val="0"/>
                <w:color w:val="000000"/>
                <w:kern w:val="0"/>
                <w:sz w:val="22"/>
                <w:szCs w:val="22"/>
                <w:u w:val="none"/>
                <w:lang w:val="en-US" w:eastAsia="zh-CN" w:bidi="ar"/>
              </w:rPr>
              <w:t>2</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6</w:t>
            </w:r>
            <w:r>
              <w:rPr>
                <w:rFonts w:hint="eastAsia" w:ascii="宋体" w:hAnsi="宋体" w:cs="宋体"/>
                <w:i w:val="0"/>
                <w:color w:val="000000"/>
                <w:kern w:val="0"/>
                <w:sz w:val="22"/>
                <w:szCs w:val="22"/>
                <w:u w:val="none"/>
                <w:lang w:val="en-US" w:eastAsia="zh-CN" w:bidi="ar"/>
              </w:rPr>
              <w:t>8</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68</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215</w:t>
            </w:r>
          </w:p>
        </w:tc>
        <w:tc>
          <w:tcPr>
            <w:tcW w:w="7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5"/>
                <w:szCs w:val="15"/>
              </w:rPr>
            </w:pPr>
            <w:r>
              <w:rPr>
                <w:rFonts w:hint="eastAsia" w:ascii="宋体" w:hAnsi="宋体" w:eastAsia="宋体" w:cs="宋体"/>
                <w:i w:val="0"/>
                <w:color w:val="000000"/>
                <w:kern w:val="0"/>
                <w:sz w:val="16"/>
                <w:szCs w:val="16"/>
                <w:u w:val="none"/>
                <w:lang w:val="en-US" w:eastAsia="zh-CN" w:bidi="ar"/>
              </w:rPr>
              <w:t>资源勘探信息等支出</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95</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49</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7</w:t>
            </w:r>
            <w:r>
              <w:rPr>
                <w:rFonts w:hint="eastAsia" w:ascii="宋体" w:hAnsi="宋体" w:cs="宋体"/>
                <w:i w:val="0"/>
                <w:color w:val="000000"/>
                <w:kern w:val="0"/>
                <w:sz w:val="22"/>
                <w:szCs w:val="22"/>
                <w:u w:val="none"/>
                <w:lang w:val="en-US" w:eastAsia="zh-CN" w:bidi="ar"/>
              </w:rPr>
              <w:t>7</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88.72</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21508</w:t>
            </w:r>
          </w:p>
        </w:tc>
        <w:tc>
          <w:tcPr>
            <w:tcW w:w="7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5"/>
                <w:szCs w:val="15"/>
              </w:rPr>
            </w:pPr>
            <w:r>
              <w:rPr>
                <w:rFonts w:hint="eastAsia" w:ascii="宋体" w:hAnsi="宋体" w:eastAsia="宋体" w:cs="宋体"/>
                <w:i w:val="0"/>
                <w:color w:val="000000"/>
                <w:kern w:val="0"/>
                <w:sz w:val="16"/>
                <w:szCs w:val="16"/>
                <w:u w:val="none"/>
                <w:lang w:val="en-US" w:eastAsia="zh-CN" w:bidi="ar"/>
              </w:rPr>
              <w:t>支持中小企业发展和管理支出</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eastAsia="宋体" w:cs="宋体"/>
                <w:i w:val="0"/>
                <w:color w:val="000000"/>
                <w:kern w:val="0"/>
                <w:sz w:val="22"/>
                <w:szCs w:val="22"/>
                <w:u w:val="none"/>
                <w:lang w:val="en-US" w:eastAsia="zh-CN" w:bidi="ar"/>
              </w:rPr>
              <w:t>95</w:t>
            </w:r>
            <w:r>
              <w:rPr>
                <w:rFonts w:hint="eastAsia" w:ascii="宋体" w:hAnsi="宋体" w:cs="宋体"/>
                <w:i w:val="0"/>
                <w:color w:val="000000"/>
                <w:kern w:val="0"/>
                <w:sz w:val="22"/>
                <w:szCs w:val="22"/>
                <w:u w:val="none"/>
                <w:lang w:val="en-US" w:eastAsia="zh-CN" w:bidi="ar"/>
              </w:rPr>
              <w:t>.49</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7</w:t>
            </w:r>
            <w:r>
              <w:rPr>
                <w:rFonts w:hint="eastAsia" w:ascii="宋体" w:hAnsi="宋体" w:cs="宋体"/>
                <w:i w:val="0"/>
                <w:color w:val="000000"/>
                <w:kern w:val="0"/>
                <w:sz w:val="22"/>
                <w:szCs w:val="22"/>
                <w:u w:val="none"/>
                <w:lang w:val="en-US" w:eastAsia="zh-CN" w:bidi="ar"/>
              </w:rPr>
              <w:t>7</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88.72</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2150805</w:t>
            </w:r>
          </w:p>
        </w:tc>
        <w:tc>
          <w:tcPr>
            <w:tcW w:w="7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5"/>
                <w:szCs w:val="15"/>
              </w:rPr>
            </w:pPr>
            <w:r>
              <w:rPr>
                <w:rFonts w:hint="eastAsia" w:ascii="宋体" w:hAnsi="宋体" w:eastAsia="宋体" w:cs="宋体"/>
                <w:i w:val="0"/>
                <w:color w:val="000000"/>
                <w:kern w:val="0"/>
                <w:sz w:val="16"/>
                <w:szCs w:val="16"/>
                <w:u w:val="none"/>
                <w:lang w:val="en-US" w:eastAsia="zh-CN" w:bidi="ar"/>
              </w:rPr>
              <w:t>中小企业发展专项</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95</w:t>
            </w:r>
            <w:r>
              <w:rPr>
                <w:rFonts w:hint="eastAsia" w:ascii="宋体" w:hAnsi="宋体" w:cs="宋体"/>
                <w:i w:val="0"/>
                <w:color w:val="000000"/>
                <w:kern w:val="0"/>
                <w:sz w:val="22"/>
                <w:szCs w:val="22"/>
                <w:u w:val="none"/>
                <w:lang w:val="en-US" w:eastAsia="zh-CN" w:bidi="ar"/>
              </w:rPr>
              <w:t>.49</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7</w:t>
            </w:r>
            <w:r>
              <w:rPr>
                <w:rFonts w:hint="eastAsia" w:ascii="宋体" w:hAnsi="宋体" w:cs="宋体"/>
                <w:i w:val="0"/>
                <w:color w:val="000000"/>
                <w:kern w:val="0"/>
                <w:sz w:val="22"/>
                <w:szCs w:val="22"/>
                <w:u w:val="none"/>
                <w:lang w:val="en-US" w:eastAsia="zh-CN" w:bidi="ar"/>
              </w:rPr>
              <w:t>7</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88.72</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keepNext w:val="0"/>
        <w:keepLines w:val="0"/>
        <w:widowControl/>
        <w:suppressLineNumbers w:val="0"/>
        <w:jc w:val="left"/>
      </w:pPr>
      <w:r>
        <w:rPr>
          <w:rFonts w:hint="eastAsia" w:ascii="宋体" w:hAnsi="宋体" w:cs="宋体"/>
          <w:szCs w:val="21"/>
        </w:rPr>
        <w:t>注：本表反映部门本年度取得的各项收入情况</w:t>
      </w:r>
      <w:r>
        <w:rPr>
          <w:rFonts w:hint="eastAsia" w:ascii="宋体" w:hAnsi="宋体" w:cs="宋体"/>
          <w:szCs w:val="21"/>
          <w:lang w:eastAsia="zh-CN"/>
        </w:rPr>
        <w:t>。</w:t>
      </w:r>
      <w:r>
        <w:rPr>
          <w:rFonts w:hint="eastAsia" w:ascii="宋体" w:hAnsi="宋体" w:cs="宋体"/>
          <w:color w:val="000000"/>
          <w:kern w:val="0"/>
          <w:szCs w:val="21"/>
          <w:lang w:val="en-US" w:eastAsia="zh-CN"/>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支出决算表</w:t>
      </w:r>
    </w:p>
    <w:p>
      <w:pPr>
        <w:rPr>
          <w:rFonts w:ascii="宋体" w:hAnsi="宋体" w:cs="宋体"/>
          <w:b/>
          <w:bCs/>
          <w:szCs w:val="21"/>
        </w:rPr>
      </w:pPr>
      <w:r>
        <w:rPr>
          <w:rFonts w:hint="eastAsia" w:ascii="宋体" w:hAnsi="宋体" w:cs="宋体"/>
          <w:b/>
          <w:bCs/>
          <w:sz w:val="24"/>
        </w:rPr>
        <w:t xml:space="preserve">                        </w:t>
      </w:r>
      <w:r>
        <w:rPr>
          <w:rFonts w:hint="eastAsia" w:ascii="宋体" w:hAnsi="宋体" w:cs="宋体"/>
          <w:b/>
          <w:bCs/>
          <w:szCs w:val="21"/>
        </w:rPr>
        <w:t xml:space="preserve">                                               公开03表</w:t>
      </w:r>
    </w:p>
    <w:p>
      <w:pPr>
        <w:rPr>
          <w:rFonts w:ascii="宋体" w:hAnsi="宋体" w:cs="宋体"/>
          <w:b/>
          <w:bCs/>
          <w:sz w:val="48"/>
          <w:szCs w:val="48"/>
        </w:rPr>
      </w:pPr>
      <w:r>
        <w:rPr>
          <w:rFonts w:hint="eastAsia" w:ascii="宋体" w:hAnsi="宋体" w:cs="宋体"/>
          <w:b/>
          <w:bCs/>
          <w:szCs w:val="21"/>
        </w:rPr>
        <w:t>编制部门：                                                            金额单位：万元</w:t>
      </w:r>
    </w:p>
    <w:tbl>
      <w:tblPr>
        <w:tblStyle w:val="7"/>
        <w:tblW w:w="8896" w:type="dxa"/>
        <w:tblInd w:w="0" w:type="dxa"/>
        <w:tblLayout w:type="fixed"/>
        <w:tblCellMar>
          <w:top w:w="15" w:type="dxa"/>
          <w:left w:w="15" w:type="dxa"/>
          <w:bottom w:w="15" w:type="dxa"/>
          <w:right w:w="15" w:type="dxa"/>
        </w:tblCellMar>
      </w:tblPr>
      <w:tblGrid>
        <w:gridCol w:w="914"/>
        <w:gridCol w:w="83"/>
        <w:gridCol w:w="1219"/>
        <w:gridCol w:w="1255"/>
        <w:gridCol w:w="986"/>
        <w:gridCol w:w="1077"/>
        <w:gridCol w:w="1109"/>
        <w:gridCol w:w="908"/>
        <w:gridCol w:w="1345"/>
      </w:tblGrid>
      <w:tr>
        <w:tblPrEx>
          <w:tblCellMar>
            <w:top w:w="15" w:type="dxa"/>
            <w:left w:w="15" w:type="dxa"/>
            <w:bottom w:w="15" w:type="dxa"/>
            <w:right w:w="15" w:type="dxa"/>
          </w:tblCellMar>
        </w:tblPrEx>
        <w:trPr>
          <w:trHeight w:val="372" w:hRule="atLeast"/>
        </w:trPr>
        <w:tc>
          <w:tcPr>
            <w:tcW w:w="221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2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98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7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1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上缴上</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级支出</w:t>
            </w:r>
          </w:p>
        </w:tc>
        <w:tc>
          <w:tcPr>
            <w:tcW w:w="9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经营支出</w:t>
            </w:r>
          </w:p>
        </w:tc>
        <w:tc>
          <w:tcPr>
            <w:tcW w:w="134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对附属单位</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补助支出</w:t>
            </w:r>
          </w:p>
        </w:tc>
      </w:tr>
      <w:tr>
        <w:tblPrEx>
          <w:tblCellMar>
            <w:top w:w="15" w:type="dxa"/>
            <w:left w:w="15" w:type="dxa"/>
            <w:bottom w:w="15" w:type="dxa"/>
            <w:right w:w="15" w:type="dxa"/>
          </w:tblCellMar>
        </w:tblPrEx>
        <w:trPr>
          <w:trHeight w:val="702" w:hRule="atLeast"/>
        </w:trPr>
        <w:tc>
          <w:tcPr>
            <w:tcW w:w="99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2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372" w:hRule="atLeast"/>
        </w:trPr>
        <w:tc>
          <w:tcPr>
            <w:tcW w:w="221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268</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55</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132</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5</w:t>
            </w:r>
            <w:r>
              <w:rPr>
                <w:rFonts w:hint="eastAsia" w:ascii="宋体" w:hAnsi="宋体" w:cs="宋体"/>
                <w:i w:val="0"/>
                <w:color w:val="000000"/>
                <w:kern w:val="0"/>
                <w:sz w:val="22"/>
                <w:szCs w:val="22"/>
                <w:u w:val="none"/>
                <w:lang w:val="en-US" w:eastAsia="zh-CN" w:bidi="ar"/>
              </w:rPr>
              <w:t>4</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136</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0</w:t>
            </w:r>
            <w:r>
              <w:rPr>
                <w:rFonts w:hint="eastAsia" w:ascii="宋体" w:hAnsi="宋体" w:cs="宋体"/>
                <w:i w:val="0"/>
                <w:color w:val="000000"/>
                <w:kern w:val="0"/>
                <w:sz w:val="22"/>
                <w:szCs w:val="22"/>
                <w:u w:val="none"/>
                <w:lang w:val="en-US" w:eastAsia="zh-CN" w:bidi="ar"/>
              </w:rPr>
              <w:t>2</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一般公共服务支出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171</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41</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132</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54</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38</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87</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20113</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商贸事务</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171</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41</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132</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54</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38</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87</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2011301</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行政运行</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129</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8</w:t>
            </w:r>
            <w:r>
              <w:rPr>
                <w:rFonts w:hint="eastAsia" w:ascii="宋体" w:hAnsi="宋体" w:cs="宋体"/>
                <w:i w:val="0"/>
                <w:color w:val="000000"/>
                <w:kern w:val="0"/>
                <w:sz w:val="22"/>
                <w:szCs w:val="22"/>
                <w:u w:val="none"/>
                <w:lang w:val="en-US" w:eastAsia="zh-CN" w:bidi="ar"/>
              </w:rPr>
              <w:t>6</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129</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8</w:t>
            </w:r>
            <w:r>
              <w:rPr>
                <w:rFonts w:hint="eastAsia" w:ascii="宋体" w:hAnsi="宋体" w:cs="宋体"/>
                <w:i w:val="0"/>
                <w:color w:val="000000"/>
                <w:kern w:val="0"/>
                <w:sz w:val="22"/>
                <w:szCs w:val="22"/>
                <w:u w:val="none"/>
                <w:lang w:val="en-US" w:eastAsia="zh-CN" w:bidi="ar"/>
              </w:rPr>
              <w:t>6</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2011308</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招商引资</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38</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87</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38</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87</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2011399</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其他商贸事务支出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68</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6</w:t>
            </w:r>
            <w:r>
              <w:rPr>
                <w:rFonts w:hint="eastAsia" w:ascii="宋体" w:hAnsi="宋体" w:cs="宋体"/>
                <w:i w:val="0"/>
                <w:color w:val="000000"/>
                <w:kern w:val="0"/>
                <w:sz w:val="22"/>
                <w:szCs w:val="22"/>
                <w:u w:val="none"/>
                <w:lang w:val="en-US" w:eastAsia="zh-CN" w:bidi="ar"/>
              </w:rPr>
              <w:t>8</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215</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资源勘探信息等支出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97</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15</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97</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15</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21508</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支持中小企业发展和管理支出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97</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15</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97</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15</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2150805</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中小企业发展专项</w:t>
            </w:r>
          </w:p>
        </w:tc>
        <w:tc>
          <w:tcPr>
            <w:tcW w:w="12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97</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15</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97</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15</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keepNext w:val="0"/>
        <w:keepLines w:val="0"/>
        <w:widowControl/>
        <w:suppressLineNumbers w:val="0"/>
        <w:jc w:val="left"/>
      </w:pPr>
      <w:r>
        <w:rPr>
          <w:rFonts w:hint="eastAsia" w:ascii="宋体" w:hAnsi="宋体" w:cs="宋体"/>
          <w:szCs w:val="21"/>
        </w:rPr>
        <w:t>注：本表反映部门本年度各项支出情况。</w:t>
      </w:r>
      <w:r>
        <w:rPr>
          <w:rFonts w:hint="eastAsia" w:ascii="宋体" w:hAnsi="宋体" w:cs="宋体"/>
          <w:color w:val="000000"/>
          <w:kern w:val="0"/>
          <w:szCs w:val="21"/>
          <w:lang w:val="en-US" w:eastAsia="zh-CN"/>
        </w:rPr>
        <w:t>本表金额转换为万元时，因四舍五入可能存在尾差。</w:t>
      </w:r>
    </w:p>
    <w:p>
      <w:pPr>
        <w:jc w:val="center"/>
        <w:rPr>
          <w:rFonts w:hint="eastAsia"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财政拨款收入支出决算总表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公开04表</w:t>
      </w:r>
    </w:p>
    <w:p>
      <w:pPr>
        <w:rPr>
          <w:rFonts w:ascii="宋体" w:hAnsi="宋体" w:cs="宋体"/>
          <w:b/>
          <w:bCs/>
          <w:szCs w:val="21"/>
        </w:rPr>
      </w:pPr>
      <w:r>
        <w:rPr>
          <w:rFonts w:hint="eastAsia" w:ascii="宋体" w:hAnsi="宋体" w:cs="宋体"/>
          <w:b/>
          <w:bCs/>
          <w:szCs w:val="21"/>
        </w:rPr>
        <w:t>编制部门：                                                            金额单位：万元</w:t>
      </w:r>
    </w:p>
    <w:tbl>
      <w:tblPr>
        <w:tblStyle w:val="7"/>
        <w:tblW w:w="8700" w:type="dxa"/>
        <w:tblInd w:w="0" w:type="dxa"/>
        <w:tblLayout w:type="fixed"/>
        <w:tblCellMar>
          <w:top w:w="15" w:type="dxa"/>
          <w:left w:w="15" w:type="dxa"/>
          <w:bottom w:w="15" w:type="dxa"/>
          <w:right w:w="15" w:type="dxa"/>
        </w:tblCellMar>
      </w:tblPr>
      <w:tblGrid>
        <w:gridCol w:w="1705"/>
        <w:gridCol w:w="1072"/>
        <w:gridCol w:w="2703"/>
        <w:gridCol w:w="1134"/>
        <w:gridCol w:w="1102"/>
        <w:gridCol w:w="984"/>
      </w:tblGrid>
      <w:tr>
        <w:tblPrEx>
          <w:tblCellMar>
            <w:top w:w="15" w:type="dxa"/>
            <w:left w:w="15" w:type="dxa"/>
            <w:bottom w:w="15" w:type="dxa"/>
            <w:right w:w="15" w:type="dxa"/>
          </w:tblCellMar>
        </w:tblPrEx>
        <w:trPr>
          <w:trHeight w:val="367" w:hRule="atLeast"/>
        </w:trPr>
        <w:tc>
          <w:tcPr>
            <w:tcW w:w="27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2"/>
                <w:sz w:val="21"/>
                <w:szCs w:val="21"/>
                <w:lang w:val="en-US" w:eastAsia="zh-CN" w:bidi="ar-SA"/>
              </w:rPr>
            </w:pPr>
            <w:r>
              <w:rPr>
                <w:rFonts w:hint="eastAsia" w:ascii="宋体" w:hAnsi="宋体" w:cs="宋体"/>
                <w:b/>
                <w:color w:val="000000"/>
                <w:kern w:val="2"/>
                <w:sz w:val="21"/>
                <w:szCs w:val="21"/>
                <w:lang w:val="en-US" w:eastAsia="zh-CN" w:bidi="ar-SA"/>
              </w:rPr>
              <w:t>收入</w:t>
            </w:r>
          </w:p>
        </w:tc>
        <w:tc>
          <w:tcPr>
            <w:tcW w:w="592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2"/>
                <w:sz w:val="21"/>
                <w:szCs w:val="21"/>
                <w:lang w:val="en-US" w:eastAsia="zh-CN" w:bidi="ar-SA"/>
              </w:rPr>
            </w:pPr>
            <w:r>
              <w:rPr>
                <w:rFonts w:hint="eastAsia" w:ascii="宋体" w:hAnsi="宋体" w:cs="宋体"/>
                <w:b/>
                <w:color w:val="000000"/>
                <w:kern w:val="2"/>
                <w:sz w:val="21"/>
                <w:szCs w:val="21"/>
                <w:lang w:val="en-US" w:eastAsia="zh-CN" w:bidi="ar-SA"/>
              </w:rPr>
              <w:t>支出</w:t>
            </w:r>
          </w:p>
        </w:tc>
      </w:tr>
      <w:tr>
        <w:tblPrEx>
          <w:tblCellMar>
            <w:top w:w="15" w:type="dxa"/>
            <w:left w:w="15" w:type="dxa"/>
            <w:bottom w:w="15" w:type="dxa"/>
            <w:right w:w="15" w:type="dxa"/>
          </w:tblCellMar>
        </w:tblPrEx>
        <w:trPr>
          <w:trHeight w:val="1020"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项    目</w:t>
            </w: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决算数</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项目</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合计</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一般公共预算财政拨款</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1、一般公共预算财政拨款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147.70</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1、一般公共服务支出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140.93</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140.93</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2、政府性基金预算财政拨款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lang w:val="en-US" w:eastAsia="zh-CN"/>
              </w:rPr>
              <w:t>2</w:t>
            </w:r>
            <w:r>
              <w:rPr>
                <w:rFonts w:hint="eastAsia" w:ascii="宋体" w:hAnsi="宋体" w:cs="宋体"/>
                <w:color w:val="000000"/>
                <w:kern w:val="0"/>
                <w:szCs w:val="21"/>
              </w:rPr>
              <w:t>、外交支出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3、国有资本经营预算收入</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3、国防支出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4、公共安全支出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5、教育支出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6、科学技术支出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7、</w:t>
            </w:r>
            <w:r>
              <w:rPr>
                <w:rFonts w:hint="eastAsia" w:ascii="宋体" w:hAnsi="宋体" w:cs="宋体"/>
                <w:color w:val="000000"/>
                <w:spacing w:val="-11"/>
                <w:w w:val="98"/>
                <w:kern w:val="0"/>
                <w:szCs w:val="21"/>
              </w:rPr>
              <w:t>文化</w:t>
            </w:r>
            <w:r>
              <w:rPr>
                <w:rFonts w:hint="eastAsia" w:ascii="宋体" w:hAnsi="宋体" w:cs="宋体"/>
                <w:color w:val="000000"/>
                <w:spacing w:val="-11"/>
                <w:w w:val="98"/>
                <w:kern w:val="0"/>
                <w:szCs w:val="21"/>
                <w:lang w:eastAsia="zh-CN"/>
              </w:rPr>
              <w:t>旅游</w:t>
            </w:r>
            <w:r>
              <w:rPr>
                <w:rFonts w:hint="eastAsia" w:ascii="宋体" w:hAnsi="宋体" w:cs="宋体"/>
                <w:color w:val="000000"/>
                <w:spacing w:val="-11"/>
                <w:w w:val="98"/>
                <w:kern w:val="0"/>
                <w:szCs w:val="21"/>
              </w:rPr>
              <w:t>体育与传媒支出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8、社会保障和就业支出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9、</w:t>
            </w:r>
            <w:r>
              <w:rPr>
                <w:rFonts w:hint="eastAsia" w:ascii="宋体" w:hAnsi="宋体" w:cs="宋体"/>
                <w:color w:val="000000"/>
                <w:kern w:val="0"/>
                <w:szCs w:val="21"/>
                <w:lang w:eastAsia="zh-CN"/>
              </w:rPr>
              <w:t>卫生健康</w:t>
            </w:r>
            <w:r>
              <w:rPr>
                <w:rFonts w:hint="eastAsia" w:ascii="宋体" w:hAnsi="宋体" w:cs="宋体"/>
                <w:color w:val="000000"/>
                <w:kern w:val="0"/>
                <w:szCs w:val="21"/>
              </w:rPr>
              <w:t>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lang w:val="en-US" w:eastAsia="zh-CN"/>
              </w:rPr>
              <w:t>1</w:t>
            </w:r>
            <w:r>
              <w:rPr>
                <w:rFonts w:hint="eastAsia" w:ascii="宋体" w:hAnsi="宋体" w:cs="宋体"/>
                <w:color w:val="000000"/>
                <w:kern w:val="0"/>
                <w:szCs w:val="21"/>
              </w:rPr>
              <w:t>0、节能环保支出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11、城乡社区支出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12、农林水支出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13、交通运输支出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14、资源勘探信息等支出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8.43</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8.43</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0.00</w:t>
            </w: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15、商业服务业等支出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16、金融支出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17、援助其他地区支出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18、</w:t>
            </w:r>
            <w:r>
              <w:rPr>
                <w:rFonts w:hint="eastAsia" w:ascii="宋体" w:hAnsi="宋体" w:cs="宋体"/>
                <w:color w:val="000000"/>
                <w:spacing w:val="-11"/>
                <w:w w:val="98"/>
                <w:kern w:val="0"/>
                <w:szCs w:val="21"/>
                <w:lang w:eastAsia="zh-CN"/>
              </w:rPr>
              <w:t>自然资源</w:t>
            </w:r>
            <w:r>
              <w:rPr>
                <w:rFonts w:hint="eastAsia" w:ascii="宋体" w:hAnsi="宋体" w:cs="宋体"/>
                <w:color w:val="000000"/>
                <w:spacing w:val="-11"/>
                <w:w w:val="98"/>
                <w:kern w:val="0"/>
                <w:szCs w:val="21"/>
              </w:rPr>
              <w:t>海洋气象等支出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19、住房保障支出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20、粮油物资储备支出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Cs w:val="21"/>
              </w:rPr>
              <w:t>21、</w:t>
            </w:r>
            <w:r>
              <w:rPr>
                <w:rFonts w:hint="eastAsia" w:ascii="宋体" w:hAnsi="宋体" w:cs="宋体"/>
                <w:color w:val="000000"/>
                <w:kern w:val="0"/>
                <w:szCs w:val="21"/>
                <w:lang w:eastAsia="zh-CN"/>
              </w:rPr>
              <w:t>灾害防治及应急管理支出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22、</w:t>
            </w:r>
            <w:r>
              <w:rPr>
                <w:rFonts w:hint="eastAsia" w:ascii="宋体" w:hAnsi="宋体" w:cs="宋体"/>
                <w:color w:val="000000"/>
                <w:kern w:val="0"/>
                <w:szCs w:val="21"/>
              </w:rPr>
              <w:t>其他支出</w:t>
            </w:r>
          </w:p>
        </w:tc>
        <w:tc>
          <w:tcPr>
            <w:tcW w:w="1134" w:type="dxa"/>
            <w:tcBorders>
              <w:top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default" w:ascii="宋体" w:hAnsi="宋体" w:eastAsia="宋体" w:cs="宋体"/>
                <w:color w:val="000000"/>
                <w:kern w:val="0"/>
                <w:sz w:val="21"/>
                <w:szCs w:val="21"/>
                <w:lang w:val="en-US" w:eastAsia="zh-CN" w:bidi="ar-SA"/>
              </w:rPr>
            </w:pPr>
          </w:p>
        </w:tc>
        <w:tc>
          <w:tcPr>
            <w:tcW w:w="1102"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4" w:type="dxa"/>
            <w:tcBorders>
              <w:top w:val="single" w:color="000000" w:sz="4" w:space="0"/>
              <w:bottom w:val="single" w:color="000000" w:sz="4" w:space="0"/>
              <w:right w:val="single" w:color="000000" w:sz="4" w:space="0"/>
            </w:tcBorders>
            <w:vAlign w:val="center"/>
          </w:tcPr>
          <w:p>
            <w:pPr>
              <w:rPr>
                <w:rFonts w:ascii="宋体" w:hAnsi="宋体" w:cs="宋体"/>
                <w:b/>
                <w:color w:val="000000"/>
                <w:szCs w:val="21"/>
              </w:rPr>
            </w:pPr>
          </w:p>
        </w:tc>
      </w:tr>
    </w:tbl>
    <w:p>
      <w:pPr>
        <w:jc w:val="center"/>
        <w:rPr>
          <w:rFonts w:ascii="宋体" w:hAnsi="宋体" w:cs="宋体"/>
          <w:b/>
          <w:bCs/>
          <w:sz w:val="32"/>
          <w:szCs w:val="32"/>
        </w:rPr>
      </w:pPr>
      <w:r>
        <w:rPr>
          <w:rFonts w:hint="eastAsia" w:ascii="宋体" w:hAnsi="宋体" w:cs="宋体"/>
          <w:b/>
          <w:bCs/>
          <w:sz w:val="32"/>
          <w:szCs w:val="32"/>
        </w:rPr>
        <w:t xml:space="preserve">财政拨款收入支出决算总表 </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 xml:space="preserve">      公开04表</w:t>
      </w:r>
    </w:p>
    <w:p>
      <w:pPr>
        <w:rPr>
          <w:rFonts w:ascii="宋体" w:hAnsi="宋体" w:cs="宋体"/>
          <w:b/>
          <w:bCs/>
          <w:szCs w:val="21"/>
        </w:rPr>
      </w:pPr>
      <w:r>
        <w:rPr>
          <w:rFonts w:hint="eastAsia" w:ascii="宋体" w:hAnsi="宋体" w:cs="宋体"/>
          <w:b/>
          <w:bCs/>
          <w:szCs w:val="21"/>
        </w:rPr>
        <w:t>编制部门：                                                            金额单位：万元</w:t>
      </w:r>
    </w:p>
    <w:tbl>
      <w:tblPr>
        <w:tblStyle w:val="7"/>
        <w:tblW w:w="8860" w:type="dxa"/>
        <w:tblInd w:w="0" w:type="dxa"/>
        <w:tblLayout w:type="fixed"/>
        <w:tblCellMar>
          <w:top w:w="15" w:type="dxa"/>
          <w:left w:w="15" w:type="dxa"/>
          <w:bottom w:w="15" w:type="dxa"/>
          <w:right w:w="15" w:type="dxa"/>
        </w:tblCellMar>
      </w:tblPr>
      <w:tblGrid>
        <w:gridCol w:w="2003"/>
        <w:gridCol w:w="1554"/>
        <w:gridCol w:w="1815"/>
        <w:gridCol w:w="1230"/>
        <w:gridCol w:w="1061"/>
        <w:gridCol w:w="1197"/>
      </w:tblGrid>
      <w:tr>
        <w:tblPrEx>
          <w:tblCellMar>
            <w:top w:w="15" w:type="dxa"/>
            <w:left w:w="15" w:type="dxa"/>
            <w:bottom w:w="15" w:type="dxa"/>
            <w:right w:w="15" w:type="dxa"/>
          </w:tblCellMar>
        </w:tblPrEx>
        <w:trPr>
          <w:trHeight w:val="578" w:hRule="atLeast"/>
        </w:trPr>
        <w:tc>
          <w:tcPr>
            <w:tcW w:w="35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2"/>
                <w:sz w:val="21"/>
                <w:szCs w:val="21"/>
                <w:lang w:val="en-US" w:eastAsia="zh-CN" w:bidi="ar-SA"/>
              </w:rPr>
            </w:pPr>
            <w:r>
              <w:rPr>
                <w:rFonts w:hint="eastAsia" w:ascii="宋体" w:hAnsi="宋体" w:cs="宋体"/>
                <w:b/>
                <w:color w:val="000000"/>
                <w:kern w:val="2"/>
                <w:sz w:val="21"/>
                <w:szCs w:val="21"/>
                <w:lang w:val="en-US" w:eastAsia="zh-CN" w:bidi="ar-SA"/>
              </w:rPr>
              <w:t>收入</w:t>
            </w:r>
          </w:p>
        </w:tc>
        <w:tc>
          <w:tcPr>
            <w:tcW w:w="530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2"/>
                <w:sz w:val="21"/>
                <w:szCs w:val="21"/>
                <w:lang w:val="en-US" w:eastAsia="zh-CN" w:bidi="ar-SA"/>
              </w:rPr>
            </w:pPr>
            <w:r>
              <w:rPr>
                <w:rFonts w:hint="eastAsia" w:ascii="宋体" w:hAnsi="宋体" w:cs="宋体"/>
                <w:b/>
                <w:color w:val="000000"/>
                <w:kern w:val="2"/>
                <w:sz w:val="21"/>
                <w:szCs w:val="21"/>
                <w:lang w:val="en-US" w:eastAsia="zh-CN" w:bidi="ar-SA"/>
              </w:rPr>
              <w:t>支出</w:t>
            </w:r>
          </w:p>
        </w:tc>
      </w:tr>
      <w:tr>
        <w:tblPrEx>
          <w:tblCellMar>
            <w:top w:w="15" w:type="dxa"/>
            <w:left w:w="15" w:type="dxa"/>
            <w:bottom w:w="15" w:type="dxa"/>
            <w:right w:w="15" w:type="dxa"/>
          </w:tblCellMar>
        </w:tblPrEx>
        <w:trPr>
          <w:trHeight w:val="999"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项    目</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决算数</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项目</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合计</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一般公共预算财政拨款</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lang w:val="en-US" w:eastAsia="zh-CN"/>
              </w:rPr>
              <w:t>147.70</w:t>
            </w:r>
            <w:r>
              <w:rPr>
                <w:rFonts w:hint="eastAsia" w:ascii="宋体" w:hAnsi="宋体" w:cs="宋体"/>
                <w:color w:val="000000"/>
                <w:kern w:val="0"/>
                <w:szCs w:val="21"/>
              </w:rPr>
              <w:t xml:space="preserve"> </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149.36</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149.36</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0.00</w:t>
            </w: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年初财政拨款结转和结余</w:t>
            </w:r>
          </w:p>
        </w:tc>
        <w:tc>
          <w:tcPr>
            <w:tcW w:w="155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color w:val="000000"/>
                <w:kern w:val="0"/>
                <w:szCs w:val="21"/>
                <w:lang w:val="en-US" w:eastAsia="zh-CN"/>
              </w:rPr>
            </w:pPr>
            <w:r>
              <w:rPr>
                <w:rFonts w:hint="eastAsia" w:ascii="宋体" w:hAnsi="宋体" w:cs="宋体"/>
                <w:color w:val="000000"/>
                <w:kern w:val="0"/>
                <w:szCs w:val="21"/>
                <w:lang w:val="en-US" w:eastAsia="zh-CN"/>
              </w:rPr>
              <w:t>1.66</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年末财政拨款</w:t>
            </w:r>
          </w:p>
          <w:p>
            <w:pPr>
              <w:widowControl/>
              <w:jc w:val="center"/>
              <w:textAlignment w:val="center"/>
              <w:rPr>
                <w:rFonts w:ascii="宋体" w:hAnsi="宋体" w:cs="宋体"/>
                <w:b/>
                <w:color w:val="000000"/>
                <w:kern w:val="0"/>
                <w:szCs w:val="21"/>
              </w:rPr>
            </w:pPr>
            <w:r>
              <w:rPr>
                <w:rFonts w:hint="eastAsia" w:ascii="宋体" w:hAnsi="宋体" w:cs="宋体"/>
                <w:color w:val="000000"/>
                <w:kern w:val="0"/>
                <w:szCs w:val="21"/>
              </w:rPr>
              <w:t>结转和结余</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cs="宋体"/>
                <w:color w:val="000000"/>
                <w:kern w:val="0"/>
                <w:szCs w:val="21"/>
                <w:lang w:val="en-US" w:eastAsia="zh-CN"/>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cs="宋体"/>
                <w:color w:val="000000"/>
                <w:kern w:val="0"/>
                <w:szCs w:val="21"/>
                <w:lang w:val="en-US" w:eastAsia="zh-CN"/>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cs="宋体"/>
                <w:color w:val="000000"/>
                <w:kern w:val="0"/>
                <w:szCs w:val="21"/>
                <w:lang w:val="en-US" w:eastAsia="zh-CN"/>
              </w:rPr>
            </w:pP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jc w:val="both"/>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eastAsia="zh-CN"/>
              </w:rPr>
              <w:t>一、</w:t>
            </w:r>
            <w:r>
              <w:rPr>
                <w:rFonts w:hint="eastAsia" w:ascii="宋体" w:hAnsi="宋体" w:cs="宋体"/>
                <w:color w:val="000000"/>
                <w:kern w:val="0"/>
                <w:szCs w:val="21"/>
              </w:rPr>
              <w:t>一般公共预</w:t>
            </w:r>
            <w:r>
              <w:rPr>
                <w:rFonts w:hint="eastAsia" w:ascii="宋体" w:hAnsi="宋体" w:cs="宋体"/>
                <w:color w:val="000000"/>
                <w:kern w:val="0"/>
                <w:szCs w:val="21"/>
                <w:lang w:val="en-US" w:eastAsia="zh-CN"/>
              </w:rPr>
              <w:t xml:space="preserve">   </w:t>
            </w:r>
          </w:p>
          <w:p>
            <w:pPr>
              <w:widowControl/>
              <w:numPr>
                <w:ilvl w:val="0"/>
                <w:numId w:val="0"/>
              </w:numPr>
              <w:ind w:firstLine="420" w:firstLineChars="200"/>
              <w:jc w:val="both"/>
              <w:textAlignment w:val="center"/>
              <w:rPr>
                <w:rFonts w:ascii="宋体" w:hAnsi="宋体" w:cs="宋体"/>
                <w:b/>
                <w:color w:val="000000"/>
                <w:kern w:val="0"/>
                <w:szCs w:val="21"/>
              </w:rPr>
            </w:pPr>
            <w:r>
              <w:rPr>
                <w:rFonts w:hint="eastAsia" w:ascii="宋体" w:hAnsi="宋体" w:cs="宋体"/>
                <w:color w:val="000000"/>
                <w:kern w:val="0"/>
                <w:szCs w:val="21"/>
              </w:rPr>
              <w:t>算财政拨款</w:t>
            </w:r>
          </w:p>
        </w:tc>
        <w:tc>
          <w:tcPr>
            <w:tcW w:w="155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1.66</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cs="宋体"/>
                <w:color w:val="000000"/>
                <w:kern w:val="0"/>
                <w:szCs w:val="21"/>
                <w:lang w:val="en-US" w:eastAsia="zh-CN"/>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cs="宋体"/>
                <w:color w:val="000000"/>
                <w:kern w:val="0"/>
                <w:szCs w:val="21"/>
                <w:lang w:val="en-US" w:eastAsia="zh-CN"/>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cs="宋体"/>
                <w:color w:val="000000"/>
                <w:kern w:val="0"/>
                <w:szCs w:val="21"/>
                <w:lang w:val="en-US" w:eastAsia="zh-CN"/>
              </w:rPr>
            </w:pP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ind w:leftChars="0"/>
              <w:jc w:val="both"/>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eastAsia="zh-CN"/>
              </w:rPr>
              <w:t>二、</w:t>
            </w:r>
            <w:r>
              <w:rPr>
                <w:rFonts w:hint="eastAsia" w:ascii="宋体" w:hAnsi="宋体" w:cs="宋体"/>
                <w:color w:val="000000"/>
                <w:kern w:val="0"/>
                <w:szCs w:val="21"/>
              </w:rPr>
              <w:t>政府性基金预</w:t>
            </w:r>
            <w:r>
              <w:rPr>
                <w:rFonts w:hint="eastAsia" w:ascii="宋体" w:hAnsi="宋体" w:cs="宋体"/>
                <w:color w:val="000000"/>
                <w:kern w:val="0"/>
                <w:szCs w:val="21"/>
                <w:lang w:val="en-US" w:eastAsia="zh-CN"/>
              </w:rPr>
              <w:t xml:space="preserve"> </w:t>
            </w:r>
          </w:p>
          <w:p>
            <w:pPr>
              <w:widowControl/>
              <w:numPr>
                <w:ilvl w:val="0"/>
                <w:numId w:val="0"/>
              </w:numPr>
              <w:ind w:leftChars="0" w:firstLine="420" w:firstLineChars="200"/>
              <w:jc w:val="both"/>
              <w:textAlignment w:val="center"/>
              <w:rPr>
                <w:rFonts w:ascii="宋体" w:hAnsi="宋体" w:cs="宋体"/>
                <w:b/>
                <w:color w:val="000000"/>
                <w:kern w:val="0"/>
                <w:szCs w:val="21"/>
              </w:rPr>
            </w:pPr>
            <w:r>
              <w:rPr>
                <w:rFonts w:hint="eastAsia" w:ascii="宋体" w:hAnsi="宋体" w:cs="宋体"/>
                <w:color w:val="000000"/>
                <w:kern w:val="0"/>
                <w:szCs w:val="21"/>
              </w:rPr>
              <w:t>算财政拨款</w:t>
            </w:r>
          </w:p>
        </w:tc>
        <w:tc>
          <w:tcPr>
            <w:tcW w:w="155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0.00</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cs="宋体"/>
                <w:color w:val="000000"/>
                <w:kern w:val="0"/>
                <w:szCs w:val="21"/>
                <w:lang w:val="en-US" w:eastAsia="zh-CN"/>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cs="宋体"/>
                <w:color w:val="000000"/>
                <w:kern w:val="0"/>
                <w:szCs w:val="21"/>
                <w:lang w:val="en-US" w:eastAsia="zh-CN"/>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cs="宋体"/>
                <w:color w:val="000000"/>
                <w:kern w:val="0"/>
                <w:szCs w:val="21"/>
                <w:lang w:val="en-US" w:eastAsia="zh-CN"/>
              </w:rPr>
            </w:pPr>
          </w:p>
        </w:tc>
      </w:tr>
      <w:tr>
        <w:tblPrEx>
          <w:tblCellMar>
            <w:top w:w="15" w:type="dxa"/>
            <w:left w:w="15" w:type="dxa"/>
            <w:bottom w:w="15" w:type="dxa"/>
            <w:right w:w="15" w:type="dxa"/>
          </w:tblCellMar>
        </w:tblPrEx>
        <w:trPr>
          <w:trHeight w:val="562"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收入总计</w:t>
            </w:r>
          </w:p>
        </w:tc>
        <w:tc>
          <w:tcPr>
            <w:tcW w:w="155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149.36</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支出总计</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149.36</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149.36</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0.00</w:t>
            </w:r>
          </w:p>
        </w:tc>
      </w:tr>
    </w:tbl>
    <w:p>
      <w:pPr>
        <w:rPr>
          <w:rFonts w:ascii="宋体" w:hAnsi="宋体" w:cs="宋体"/>
          <w:szCs w:val="21"/>
        </w:rPr>
      </w:pPr>
    </w:p>
    <w:p>
      <w:pPr>
        <w:keepNext w:val="0"/>
        <w:keepLines w:val="0"/>
        <w:widowControl/>
        <w:suppressLineNumbers w:val="0"/>
        <w:jc w:val="left"/>
      </w:pPr>
      <w:r>
        <w:rPr>
          <w:rFonts w:hint="eastAsia" w:ascii="宋体" w:hAnsi="宋体" w:cs="宋体"/>
          <w:szCs w:val="21"/>
        </w:rPr>
        <w:t>注：本表反映部门本年度一般公共预算财政拨款和政府性基金预算财政拨款的总收支和年末结转结余情况</w:t>
      </w:r>
      <w:r>
        <w:rPr>
          <w:rFonts w:hint="eastAsia" w:ascii="宋体" w:hAnsi="宋体" w:cs="宋体"/>
          <w:szCs w:val="21"/>
          <w:lang w:eastAsia="zh-CN"/>
        </w:rPr>
        <w:t>。</w:t>
      </w:r>
      <w:r>
        <w:rPr>
          <w:rFonts w:hint="eastAsia" w:ascii="宋体" w:hAnsi="宋体" w:cs="宋体"/>
          <w:color w:val="000000"/>
          <w:kern w:val="0"/>
          <w:szCs w:val="21"/>
          <w:lang w:val="en-US" w:eastAsia="zh-CN"/>
        </w:rPr>
        <w:t>本表金额转换为万元时，因四舍五入可能存在尾差。</w:t>
      </w:r>
    </w:p>
    <w:p>
      <w:pPr>
        <w:rPr>
          <w:rFonts w:ascii="仿宋_GB2312" w:hAnsi="仿宋_GB2312" w:eastAsia="仿宋_GB2312" w:cs="仿宋_GB2312"/>
          <w:sz w:val="32"/>
          <w:szCs w:val="32"/>
        </w:rPr>
      </w:pPr>
    </w:p>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宋体" w:hAnsi="宋体" w:cs="宋体"/>
          <w:b/>
          <w:bCs/>
          <w:sz w:val="32"/>
          <w:szCs w:val="32"/>
        </w:rPr>
      </w:pPr>
      <w:r>
        <w:rPr>
          <w:rFonts w:hint="eastAsia" w:ascii="宋体" w:hAnsi="宋体" w:cs="宋体"/>
          <w:b/>
          <w:bCs/>
          <w:sz w:val="32"/>
          <w:szCs w:val="32"/>
        </w:rPr>
        <w:br w:type="page"/>
      </w:r>
    </w:p>
    <w:p>
      <w:pPr>
        <w:jc w:val="center"/>
        <w:rPr>
          <w:rFonts w:ascii="宋体" w:hAnsi="宋体" w:cs="宋体"/>
          <w:b/>
          <w:bCs/>
          <w:sz w:val="32"/>
          <w:szCs w:val="32"/>
        </w:rPr>
      </w:pPr>
      <w:r>
        <w:rPr>
          <w:rFonts w:hint="eastAsia" w:ascii="宋体" w:hAnsi="宋体" w:cs="宋体"/>
          <w:b/>
          <w:bCs/>
          <w:sz w:val="32"/>
          <w:szCs w:val="32"/>
        </w:rPr>
        <w:t>一般公共预算财政拨款支出决算表（按功能分类科目）</w:t>
      </w:r>
    </w:p>
    <w:p>
      <w:pPr>
        <w:rPr>
          <w:rFonts w:ascii="宋体" w:hAnsi="宋体" w:cs="宋体"/>
          <w:b/>
          <w:bCs/>
          <w:szCs w:val="21"/>
        </w:rPr>
      </w:pPr>
      <w:r>
        <w:rPr>
          <w:rFonts w:hint="eastAsia" w:ascii="宋体" w:hAnsi="宋体" w:cs="宋体"/>
          <w:b/>
          <w:bCs/>
          <w:szCs w:val="21"/>
        </w:rPr>
        <w:t xml:space="preserve">                                                                          公开05表</w:t>
      </w:r>
    </w:p>
    <w:p>
      <w:pPr>
        <w:rPr>
          <w:rFonts w:ascii="宋体" w:hAnsi="宋体" w:cs="宋体"/>
          <w:b/>
          <w:bCs/>
          <w:szCs w:val="21"/>
        </w:rPr>
      </w:pPr>
      <w:r>
        <w:rPr>
          <w:rFonts w:hint="eastAsia" w:ascii="宋体" w:hAnsi="宋体" w:cs="宋体"/>
          <w:b/>
          <w:bCs/>
          <w:szCs w:val="21"/>
        </w:rPr>
        <w:t>编制部门：                                                           金额单位：万元</w:t>
      </w:r>
    </w:p>
    <w:tbl>
      <w:tblPr>
        <w:tblStyle w:val="7"/>
        <w:tblW w:w="8777" w:type="dxa"/>
        <w:tblInd w:w="0" w:type="dxa"/>
        <w:tblLayout w:type="fixed"/>
        <w:tblCellMar>
          <w:top w:w="15" w:type="dxa"/>
          <w:left w:w="15" w:type="dxa"/>
          <w:bottom w:w="15" w:type="dxa"/>
          <w:right w:w="15" w:type="dxa"/>
        </w:tblCellMar>
      </w:tblPr>
      <w:tblGrid>
        <w:gridCol w:w="1170"/>
        <w:gridCol w:w="1537"/>
        <w:gridCol w:w="1006"/>
        <w:gridCol w:w="1020"/>
        <w:gridCol w:w="935"/>
        <w:gridCol w:w="1039"/>
        <w:gridCol w:w="1020"/>
        <w:gridCol w:w="1050"/>
      </w:tblGrid>
      <w:tr>
        <w:tblPrEx>
          <w:tblCellMar>
            <w:top w:w="15" w:type="dxa"/>
            <w:left w:w="15" w:type="dxa"/>
            <w:bottom w:w="15" w:type="dxa"/>
            <w:right w:w="15" w:type="dxa"/>
          </w:tblCellMar>
        </w:tblPrEx>
        <w:trPr>
          <w:trHeight w:val="414" w:hRule="atLeast"/>
        </w:trPr>
        <w:tc>
          <w:tcPr>
            <w:tcW w:w="27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0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2994"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14" w:hRule="atLeast"/>
        </w:trPr>
        <w:tc>
          <w:tcPr>
            <w:tcW w:w="27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149.36</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132.54</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119.28</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13.26</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16.82</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201</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一般公共服务</w:t>
            </w:r>
          </w:p>
          <w:p>
            <w:pPr>
              <w:widowControl/>
              <w:jc w:val="center"/>
              <w:textAlignment w:val="center"/>
              <w:rPr>
                <w:rFonts w:ascii="宋体" w:hAnsi="宋体" w:cs="宋体"/>
                <w:color w:val="000000"/>
                <w:szCs w:val="21"/>
              </w:rPr>
            </w:pPr>
            <w:r>
              <w:rPr>
                <w:rFonts w:hint="eastAsia" w:ascii="宋体" w:hAnsi="宋体" w:cs="宋体"/>
                <w:color w:val="000000"/>
                <w:kern w:val="0"/>
                <w:szCs w:val="21"/>
              </w:rPr>
              <w:t>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140.93</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132.54</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119.28</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13.26</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8.40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rPr>
              <w:t xml:space="preserve">  201</w:t>
            </w:r>
            <w:r>
              <w:rPr>
                <w:rFonts w:hint="eastAsia" w:ascii="宋体" w:hAnsi="宋体" w:cs="宋体"/>
                <w:color w:val="000000"/>
                <w:kern w:val="0"/>
                <w:szCs w:val="21"/>
                <w:lang w:val="en-US" w:eastAsia="zh-CN"/>
              </w:rPr>
              <w:t>13</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eastAsia="zh-CN"/>
              </w:rPr>
              <w:t>商贸</w:t>
            </w:r>
            <w:r>
              <w:rPr>
                <w:rFonts w:hint="eastAsia" w:ascii="宋体" w:hAnsi="宋体" w:cs="宋体"/>
                <w:color w:val="000000"/>
                <w:kern w:val="0"/>
                <w:szCs w:val="21"/>
              </w:rPr>
              <w:t>事务</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140.93</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132.54</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119.28</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13.26</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8.40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ind w:left="210" w:hanging="210" w:hangingChars="100"/>
              <w:jc w:val="left"/>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rPr>
              <w:t xml:space="preserve">    201</w:t>
            </w:r>
            <w:r>
              <w:rPr>
                <w:rFonts w:hint="eastAsia" w:ascii="宋体" w:hAnsi="宋体" w:cs="宋体"/>
                <w:color w:val="000000"/>
                <w:kern w:val="0"/>
                <w:szCs w:val="21"/>
                <w:lang w:val="en-US" w:eastAsia="zh-CN"/>
              </w:rPr>
              <w:t>1301</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行政运行</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129.86</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129.86</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116.75</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13.11</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lang w:val="en-US" w:eastAsia="zh-CN"/>
              </w:rPr>
              <w:t>2011308</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lang w:val="en-US" w:eastAsia="zh-CN"/>
              </w:rPr>
              <w:t>招商引资</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8.40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Cs w:val="21"/>
                <w:lang w:val="en-US" w:eastAsia="zh-CN"/>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8.40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lang w:val="en-US" w:eastAsia="zh-CN"/>
              </w:rPr>
              <w:t>2011399</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lang w:val="en-US" w:eastAsia="zh-CN"/>
              </w:rPr>
              <w:t>其他商贸事务支出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2.68</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2.68</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2.53</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0.15</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215</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资源勘探信息等支出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8.43</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8.43</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both"/>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21508</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支持中小企业发展和管理支出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8.43</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8.43</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2150805</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 xml:space="preserve">  中小企业发展专项</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8.43</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8.43</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cs="宋体"/>
                <w:color w:val="000000"/>
                <w:szCs w:val="21"/>
                <w:lang w:val="en-US"/>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w:t>
            </w:r>
          </w:p>
        </w:tc>
        <w:tc>
          <w:tcPr>
            <w:tcW w:w="10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keepNext w:val="0"/>
        <w:keepLines w:val="0"/>
        <w:widowControl/>
        <w:suppressLineNumbers w:val="0"/>
        <w:jc w:val="left"/>
      </w:pPr>
      <w:r>
        <w:rPr>
          <w:rFonts w:hint="eastAsia" w:ascii="宋体" w:hAnsi="宋体" w:cs="宋体"/>
          <w:szCs w:val="21"/>
        </w:rPr>
        <w:t>注：本表反映部门本年度一般公共预算财政拨款实际支出情况。</w:t>
      </w:r>
      <w:r>
        <w:rPr>
          <w:rFonts w:hint="eastAsia" w:ascii="宋体" w:hAnsi="宋体" w:cs="宋体"/>
          <w:color w:val="000000"/>
          <w:kern w:val="0"/>
          <w:szCs w:val="21"/>
          <w:lang w:val="en-US" w:eastAsia="zh-CN"/>
        </w:rPr>
        <w:t>本表金额转换为万元时，因四舍五入可能存在尾差。</w:t>
      </w:r>
    </w:p>
    <w:p>
      <w:pPr>
        <w:rPr>
          <w:rFonts w:ascii="宋体" w:hAnsi="宋体" w:cs="宋体"/>
          <w:b/>
          <w:bCs/>
          <w:sz w:val="32"/>
          <w:szCs w:val="32"/>
        </w:rPr>
      </w:pPr>
      <w:r>
        <w:rPr>
          <w:rFonts w:hint="eastAsia" w:ascii="宋体" w:hAnsi="宋体" w:cs="宋体"/>
          <w:b/>
          <w:bCs/>
          <w:sz w:val="32"/>
          <w:szCs w:val="32"/>
        </w:rPr>
        <w:br w:type="page"/>
      </w:r>
    </w:p>
    <w:p>
      <w:pPr>
        <w:jc w:val="center"/>
        <w:rPr>
          <w:rFonts w:ascii="宋体" w:hAnsi="宋体" w:cs="宋体"/>
          <w:b/>
          <w:bCs/>
          <w:sz w:val="32"/>
          <w:szCs w:val="32"/>
        </w:rPr>
      </w:pPr>
      <w:r>
        <w:rPr>
          <w:rFonts w:hint="eastAsia" w:ascii="宋体" w:hAnsi="宋体" w:cs="宋体"/>
          <w:b/>
          <w:bCs/>
          <w:sz w:val="32"/>
          <w:szCs w:val="32"/>
        </w:rPr>
        <w:t>一般公共预算财政拨款基本支出决算表（按经济分类科目）</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公开06表</w:t>
      </w:r>
    </w:p>
    <w:p>
      <w:pPr>
        <w:rPr>
          <w:rFonts w:ascii="宋体" w:hAnsi="宋体" w:cs="宋体"/>
          <w:b/>
          <w:bCs/>
          <w:szCs w:val="21"/>
        </w:rPr>
      </w:pPr>
      <w:r>
        <w:rPr>
          <w:rFonts w:hint="eastAsia" w:ascii="宋体" w:hAnsi="宋体" w:cs="宋体"/>
          <w:b/>
          <w:bCs/>
          <w:szCs w:val="21"/>
        </w:rPr>
        <w:t>编制部门：                                                            金额单位：万元</w:t>
      </w:r>
    </w:p>
    <w:tbl>
      <w:tblPr>
        <w:tblStyle w:val="7"/>
        <w:tblW w:w="8817" w:type="dxa"/>
        <w:tblInd w:w="0" w:type="dxa"/>
        <w:tblLayout w:type="fixed"/>
        <w:tblCellMar>
          <w:top w:w="15" w:type="dxa"/>
          <w:left w:w="15" w:type="dxa"/>
          <w:bottom w:w="15" w:type="dxa"/>
          <w:right w:w="15" w:type="dxa"/>
        </w:tblCellMar>
      </w:tblPr>
      <w:tblGrid>
        <w:gridCol w:w="1157"/>
        <w:gridCol w:w="2046"/>
        <w:gridCol w:w="1659"/>
        <w:gridCol w:w="1437"/>
        <w:gridCol w:w="1363"/>
        <w:gridCol w:w="1155"/>
      </w:tblGrid>
      <w:tr>
        <w:tblPrEx>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65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43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6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经济分类科目编码</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6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3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659" w:type="dxa"/>
            <w:tcBorders>
              <w:left w:val="single" w:color="000000" w:sz="4" w:space="0"/>
              <w:bottom w:val="single" w:color="000000" w:sz="4" w:space="0"/>
              <w:right w:val="single" w:color="000000" w:sz="4" w:space="0"/>
            </w:tcBorders>
            <w:vAlign w:val="center"/>
          </w:tcPr>
          <w:p>
            <w:pPr>
              <w:jc w:val="right"/>
              <w:rPr>
                <w:rFonts w:hint="default" w:ascii="宋体" w:hAnsi="宋体" w:eastAsia="宋体" w:cs="宋体"/>
                <w:b/>
                <w:color w:val="000000"/>
                <w:szCs w:val="21"/>
                <w:lang w:val="en-US" w:eastAsia="zh-CN"/>
              </w:rPr>
            </w:pPr>
            <w:r>
              <w:rPr>
                <w:rFonts w:hint="eastAsia" w:ascii="宋体" w:hAnsi="宋体" w:cs="宋体"/>
                <w:color w:val="000000"/>
                <w:szCs w:val="21"/>
                <w:lang w:val="en-US" w:eastAsia="zh-CN"/>
              </w:rPr>
              <w:t>132.54</w:t>
            </w:r>
          </w:p>
        </w:tc>
        <w:tc>
          <w:tcPr>
            <w:tcW w:w="1437" w:type="dxa"/>
            <w:tcBorders>
              <w:left w:val="single" w:color="000000" w:sz="4" w:space="0"/>
              <w:bottom w:val="single" w:color="000000" w:sz="4" w:space="0"/>
              <w:right w:val="single" w:color="000000" w:sz="4" w:space="0"/>
            </w:tcBorders>
            <w:vAlign w:val="center"/>
          </w:tcPr>
          <w:p>
            <w:pPr>
              <w:jc w:val="right"/>
              <w:rPr>
                <w:rFonts w:ascii="宋体" w:hAnsi="宋体" w:cs="宋体"/>
                <w:b/>
                <w:color w:val="000000"/>
                <w:szCs w:val="21"/>
              </w:rPr>
            </w:pPr>
            <w:r>
              <w:rPr>
                <w:rFonts w:hint="eastAsia" w:ascii="宋体" w:hAnsi="宋体" w:cs="宋体"/>
                <w:color w:val="000000"/>
                <w:szCs w:val="21"/>
                <w:lang w:val="en-US" w:eastAsia="zh-CN"/>
              </w:rPr>
              <w:t>118.84</w:t>
            </w:r>
          </w:p>
        </w:tc>
        <w:tc>
          <w:tcPr>
            <w:tcW w:w="1363" w:type="dxa"/>
            <w:tcBorders>
              <w:left w:val="single" w:color="000000" w:sz="4" w:space="0"/>
              <w:bottom w:val="single" w:color="000000" w:sz="4" w:space="0"/>
              <w:right w:val="single" w:color="000000" w:sz="4" w:space="0"/>
            </w:tcBorders>
            <w:vAlign w:val="center"/>
          </w:tcPr>
          <w:p>
            <w:pPr>
              <w:jc w:val="right"/>
              <w:rPr>
                <w:rFonts w:ascii="宋体" w:hAnsi="宋体" w:cs="宋体"/>
                <w:b/>
                <w:color w:val="000000"/>
                <w:szCs w:val="21"/>
              </w:rPr>
            </w:pPr>
            <w:r>
              <w:rPr>
                <w:rFonts w:hint="eastAsia" w:ascii="宋体" w:hAnsi="宋体" w:cs="宋体"/>
                <w:color w:val="000000"/>
                <w:szCs w:val="21"/>
                <w:lang w:val="en-US" w:eastAsia="zh-CN"/>
              </w:rPr>
              <w:t>13.26</w:t>
            </w:r>
          </w:p>
        </w:tc>
        <w:tc>
          <w:tcPr>
            <w:tcW w:w="1155" w:type="dxa"/>
            <w:tcBorders>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301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工资福利支出 </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118.84</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118.84</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30101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基本工资</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34.77</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34.77</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both"/>
              <w:textAlignment w:val="center"/>
              <w:rPr>
                <w:rFonts w:ascii="宋体" w:hAnsi="宋体" w:cs="宋体"/>
                <w:color w:val="000000"/>
                <w:szCs w:val="21"/>
              </w:rPr>
            </w:pPr>
            <w:r>
              <w:rPr>
                <w:rFonts w:hint="eastAsia" w:ascii="宋体" w:hAnsi="宋体" w:cs="宋体"/>
                <w:color w:val="000000"/>
                <w:kern w:val="0"/>
                <w:szCs w:val="21"/>
              </w:rPr>
              <w:t>30102</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津贴补贴</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27.40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27.40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both"/>
              <w:textAlignment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30103</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奖金</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21.08</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21.08</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both"/>
              <w:textAlignment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30106</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Cs w:val="21"/>
                <w:lang w:eastAsia="zh-CN"/>
              </w:rPr>
            </w:pPr>
            <w:r>
              <w:rPr>
                <w:rFonts w:hint="eastAsia" w:ascii="宋体" w:hAnsi="宋体" w:cs="宋体"/>
                <w:color w:val="000000"/>
                <w:kern w:val="0"/>
                <w:szCs w:val="21"/>
                <w:lang w:eastAsia="zh-CN"/>
              </w:rPr>
              <w:t>伙食补助</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2.53</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2.53</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both"/>
              <w:textAlignment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30107</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Cs w:val="21"/>
                <w:lang w:eastAsia="zh-CN"/>
              </w:rPr>
            </w:pPr>
            <w:r>
              <w:rPr>
                <w:rFonts w:hint="eastAsia" w:ascii="宋体" w:hAnsi="宋体" w:cs="宋体"/>
                <w:color w:val="000000"/>
                <w:kern w:val="0"/>
                <w:szCs w:val="21"/>
                <w:lang w:eastAsia="zh-CN"/>
              </w:rPr>
              <w:t>绩效工资</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10.51</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10.51</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both"/>
              <w:textAlignment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30108</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Cs w:val="21"/>
                <w:lang w:eastAsia="zh-CN"/>
              </w:rPr>
            </w:pPr>
            <w:r>
              <w:rPr>
                <w:rFonts w:hint="eastAsia" w:ascii="宋体" w:hAnsi="宋体" w:cs="宋体"/>
                <w:color w:val="000000"/>
                <w:kern w:val="0"/>
                <w:szCs w:val="21"/>
                <w:lang w:eastAsia="zh-CN"/>
              </w:rPr>
              <w:t>机关事业单位基本养老保险缴费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10.59</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10.59</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both"/>
              <w:textAlignment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30113</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Cs w:val="21"/>
                <w:lang w:eastAsia="zh-CN"/>
              </w:rPr>
            </w:pPr>
            <w:r>
              <w:rPr>
                <w:rFonts w:hint="eastAsia" w:ascii="宋体" w:hAnsi="宋体" w:cs="宋体"/>
                <w:color w:val="000000"/>
                <w:kern w:val="0"/>
                <w:szCs w:val="21"/>
                <w:lang w:eastAsia="zh-CN"/>
              </w:rPr>
              <w:t>住房公积金</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11.97</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11.97</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302</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商品和服务支出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13.26</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13.26</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both"/>
              <w:textAlignment w:val="center"/>
              <w:rPr>
                <w:rFonts w:ascii="宋体" w:hAnsi="宋体" w:cs="宋体"/>
                <w:color w:val="000000"/>
                <w:szCs w:val="21"/>
              </w:rPr>
            </w:pPr>
            <w:r>
              <w:rPr>
                <w:rFonts w:hint="eastAsia" w:ascii="宋体" w:hAnsi="宋体" w:cs="宋体"/>
                <w:color w:val="000000"/>
                <w:kern w:val="0"/>
                <w:szCs w:val="21"/>
              </w:rPr>
              <w:t>30201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办公费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1.31</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1.31</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both"/>
              <w:textAlignment w:val="center"/>
              <w:rPr>
                <w:rFonts w:ascii="宋体" w:hAnsi="宋体" w:cs="宋体"/>
                <w:color w:val="000000"/>
                <w:szCs w:val="21"/>
              </w:rPr>
            </w:pPr>
            <w:r>
              <w:rPr>
                <w:rFonts w:hint="eastAsia" w:ascii="宋体" w:hAnsi="宋体" w:cs="宋体"/>
                <w:color w:val="000000"/>
                <w:kern w:val="0"/>
                <w:szCs w:val="21"/>
              </w:rPr>
              <w:t>30202</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印刷费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0.33</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0.33</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both"/>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lang w:val="en-US" w:eastAsia="zh-CN"/>
              </w:rPr>
              <w:t>30205</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水费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0.26</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0.26</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both"/>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30206</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电费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0.46</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0.46</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both"/>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30207</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邮电费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2.65</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2.65</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both"/>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30208</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取暖费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0.44</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0.44</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both"/>
              <w:rPr>
                <w:rFonts w:hint="default" w:ascii="宋体" w:hAnsi="宋体" w:cs="宋体"/>
                <w:color w:val="000000"/>
                <w:szCs w:val="21"/>
                <w:lang w:val="en-US" w:eastAsia="zh-CN"/>
              </w:rPr>
            </w:pPr>
            <w:r>
              <w:rPr>
                <w:rFonts w:hint="eastAsia" w:ascii="宋体" w:hAnsi="宋体" w:cs="宋体"/>
                <w:color w:val="000000"/>
                <w:szCs w:val="21"/>
                <w:lang w:val="en-US" w:eastAsia="zh-CN"/>
              </w:rPr>
              <w:t>30209</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Cs w:val="21"/>
              </w:rPr>
            </w:pPr>
            <w:r>
              <w:rPr>
                <w:rFonts w:hint="eastAsia" w:ascii="宋体" w:hAnsi="宋体" w:cs="宋体"/>
                <w:color w:val="000000"/>
                <w:szCs w:val="21"/>
              </w:rPr>
              <w:t>物业管理费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0.05</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0.05</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both"/>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30213</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维修（护）费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1.11</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1.11</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both"/>
              <w:rPr>
                <w:rFonts w:hint="default" w:ascii="宋体" w:hAnsi="宋体" w:cs="宋体"/>
                <w:color w:val="000000"/>
                <w:szCs w:val="21"/>
                <w:lang w:val="en-US" w:eastAsia="zh-CN"/>
              </w:rPr>
            </w:pPr>
            <w:r>
              <w:rPr>
                <w:rFonts w:hint="eastAsia" w:ascii="宋体" w:hAnsi="宋体" w:cs="宋体"/>
                <w:color w:val="000000"/>
                <w:szCs w:val="21"/>
                <w:lang w:val="en-US" w:eastAsia="zh-CN"/>
              </w:rPr>
              <w:t>30228</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Cs w:val="21"/>
              </w:rPr>
            </w:pPr>
            <w:r>
              <w:rPr>
                <w:rFonts w:hint="eastAsia" w:ascii="宋体" w:hAnsi="宋体" w:cs="宋体"/>
                <w:color w:val="000000"/>
                <w:szCs w:val="21"/>
              </w:rPr>
              <w:t>工会经费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1.67</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1.67</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both"/>
              <w:rPr>
                <w:rFonts w:hint="default" w:ascii="宋体" w:hAnsi="宋体" w:cs="宋体"/>
                <w:color w:val="000000"/>
                <w:szCs w:val="21"/>
                <w:lang w:val="en-US" w:eastAsia="zh-CN"/>
              </w:rPr>
            </w:pPr>
            <w:r>
              <w:rPr>
                <w:rFonts w:hint="eastAsia" w:ascii="宋体" w:hAnsi="宋体" w:cs="宋体"/>
                <w:color w:val="000000"/>
                <w:szCs w:val="21"/>
                <w:lang w:val="en-US" w:eastAsia="zh-CN"/>
              </w:rPr>
              <w:t>30239</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Cs w:val="21"/>
              </w:rPr>
            </w:pPr>
            <w:r>
              <w:rPr>
                <w:rFonts w:hint="eastAsia" w:ascii="宋体" w:hAnsi="宋体" w:cs="宋体"/>
                <w:color w:val="000000"/>
                <w:szCs w:val="21"/>
              </w:rPr>
              <w:t>其他交通费用</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4.98</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lang w:val="en-US" w:eastAsia="zh-CN"/>
              </w:rPr>
              <w:t>4.98</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cs="宋体"/>
                <w:color w:val="000000"/>
                <w:szCs w:val="21"/>
                <w:lang w:val="en-US" w:eastAsia="zh-CN"/>
              </w:rPr>
            </w:pPr>
            <w:r>
              <w:rPr>
                <w:rFonts w:hint="eastAsia" w:ascii="宋体" w:hAnsi="宋体" w:cs="宋体"/>
                <w:color w:val="000000"/>
                <w:szCs w:val="21"/>
                <w:lang w:val="en-US" w:eastAsia="zh-CN"/>
              </w:rPr>
              <w:t>303</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Cs w:val="21"/>
              </w:rPr>
            </w:pPr>
            <w:r>
              <w:rPr>
                <w:rFonts w:hint="eastAsia" w:ascii="宋体" w:hAnsi="宋体" w:cs="宋体"/>
                <w:color w:val="000000"/>
                <w:szCs w:val="21"/>
              </w:rPr>
              <w:t>对个人和家庭的补助</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0.44</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both"/>
              <w:rPr>
                <w:rFonts w:hint="default" w:ascii="宋体" w:hAnsi="宋体" w:cs="宋体"/>
                <w:color w:val="000000"/>
                <w:szCs w:val="21"/>
                <w:lang w:val="en-US" w:eastAsia="zh-CN"/>
              </w:rPr>
            </w:pPr>
            <w:r>
              <w:rPr>
                <w:rFonts w:hint="eastAsia" w:ascii="宋体" w:hAnsi="宋体" w:cs="宋体"/>
                <w:color w:val="000000"/>
                <w:szCs w:val="21"/>
                <w:lang w:val="en-US" w:eastAsia="zh-CN"/>
              </w:rPr>
              <w:t>30305</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Cs w:val="21"/>
              </w:rPr>
            </w:pPr>
            <w:r>
              <w:rPr>
                <w:rFonts w:hint="eastAsia" w:ascii="宋体" w:hAnsi="宋体" w:cs="宋体"/>
                <w:color w:val="000000"/>
                <w:szCs w:val="21"/>
              </w:rPr>
              <w:t>生活补助</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0.42</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both"/>
              <w:textAlignment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30309</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Cs w:val="21"/>
              </w:rPr>
            </w:pPr>
            <w:r>
              <w:rPr>
                <w:rFonts w:hint="eastAsia" w:ascii="宋体" w:hAnsi="宋体" w:cs="宋体"/>
                <w:color w:val="000000"/>
                <w:kern w:val="0"/>
                <w:szCs w:val="21"/>
              </w:rPr>
              <w:t>奖励金</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0.02</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310</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其他资本性支出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szCs w:val="21"/>
              </w:rPr>
            </w:pPr>
            <w:r>
              <w:rPr>
                <w:rFonts w:hint="eastAsia" w:ascii="宋体" w:hAnsi="宋体" w:cs="宋体"/>
                <w:color w:val="000000"/>
                <w:kern w:val="0"/>
                <w:szCs w:val="21"/>
              </w:rPr>
              <w:t>31002</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房屋建筑物购建</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31003</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办公设备购置</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keepNext w:val="0"/>
        <w:keepLines w:val="0"/>
        <w:widowControl/>
        <w:suppressLineNumbers w:val="0"/>
        <w:jc w:val="left"/>
      </w:pPr>
      <w:r>
        <w:rPr>
          <w:rFonts w:hint="eastAsia" w:ascii="宋体" w:hAnsi="宋体" w:cs="宋体"/>
          <w:szCs w:val="21"/>
        </w:rPr>
        <w:t>注：本表反映部门本年度一般公共预算财政拨款基本支出明细情况。</w:t>
      </w:r>
      <w:r>
        <w:rPr>
          <w:rFonts w:hint="eastAsia" w:ascii="宋体" w:hAnsi="宋体" w:cs="宋体"/>
          <w:color w:val="000000"/>
          <w:kern w:val="0"/>
          <w:szCs w:val="21"/>
          <w:lang w:val="en-US" w:eastAsia="zh-CN"/>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一般公共预算财政拨款“三公”经费</w:t>
      </w:r>
    </w:p>
    <w:p>
      <w:pPr>
        <w:spacing w:line="520" w:lineRule="exact"/>
        <w:jc w:val="center"/>
        <w:rPr>
          <w:rFonts w:ascii="宋体" w:hAnsi="宋体" w:cs="宋体"/>
          <w:b/>
          <w:bCs/>
          <w:sz w:val="32"/>
          <w:szCs w:val="32"/>
        </w:rPr>
      </w:pPr>
      <w:r>
        <w:rPr>
          <w:rFonts w:hint="eastAsia" w:ascii="宋体" w:hAnsi="宋体" w:cs="宋体"/>
          <w:b/>
          <w:bCs/>
          <w:sz w:val="32"/>
          <w:szCs w:val="32"/>
        </w:rPr>
        <w:t>及会议费、培训费支出决算表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 xml:space="preserve">        公开07表</w:t>
      </w:r>
    </w:p>
    <w:p>
      <w:pPr>
        <w:rPr>
          <w:rFonts w:ascii="宋体" w:hAnsi="宋体" w:cs="宋体"/>
          <w:b/>
          <w:bCs/>
          <w:szCs w:val="21"/>
        </w:rPr>
      </w:pPr>
      <w:r>
        <w:rPr>
          <w:rFonts w:hint="eastAsia" w:ascii="宋体" w:hAnsi="宋体" w:cs="宋体"/>
          <w:b/>
          <w:bCs/>
          <w:szCs w:val="21"/>
        </w:rPr>
        <w:t>编制部门：                                                            金额单位：万元</w:t>
      </w:r>
    </w:p>
    <w:tbl>
      <w:tblPr>
        <w:tblStyle w:val="7"/>
        <w:tblW w:w="8858" w:type="dxa"/>
        <w:tblInd w:w="0" w:type="dxa"/>
        <w:tblLayout w:type="fixed"/>
        <w:tblCellMar>
          <w:top w:w="15" w:type="dxa"/>
          <w:left w:w="15" w:type="dxa"/>
          <w:bottom w:w="15" w:type="dxa"/>
          <w:right w:w="15" w:type="dxa"/>
        </w:tblCellMar>
      </w:tblPr>
      <w:tblGrid>
        <w:gridCol w:w="1079"/>
        <w:gridCol w:w="985"/>
        <w:gridCol w:w="1117"/>
        <w:gridCol w:w="878"/>
        <w:gridCol w:w="878"/>
        <w:gridCol w:w="998"/>
        <w:gridCol w:w="1189"/>
        <w:gridCol w:w="772"/>
        <w:gridCol w:w="962"/>
      </w:tblGrid>
      <w:tr>
        <w:tblPrEx>
          <w:tblCellMar>
            <w:top w:w="15" w:type="dxa"/>
            <w:left w:w="15" w:type="dxa"/>
            <w:bottom w:w="15" w:type="dxa"/>
            <w:right w:w="15" w:type="dxa"/>
          </w:tblCellMar>
        </w:tblPrEx>
        <w:trPr>
          <w:trHeight w:val="726"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604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一般公共预算财政拨款安排的“三公”经费</w:t>
            </w:r>
          </w:p>
        </w:tc>
        <w:tc>
          <w:tcPr>
            <w:tcW w:w="7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会议费</w:t>
            </w:r>
          </w:p>
        </w:tc>
        <w:tc>
          <w:tcPr>
            <w:tcW w:w="96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培训费</w:t>
            </w: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11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因公出国（境）费用</w:t>
            </w:r>
          </w:p>
        </w:tc>
        <w:tc>
          <w:tcPr>
            <w:tcW w:w="87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公务接待费</w:t>
            </w:r>
          </w:p>
        </w:tc>
        <w:tc>
          <w:tcPr>
            <w:tcW w:w="306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公务用车购置及运行维护费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53"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公务用车购置费</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1</w:t>
            </w:r>
          </w:p>
        </w:tc>
        <w:tc>
          <w:tcPr>
            <w:tcW w:w="11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2</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3</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4</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5</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6</w:t>
            </w:r>
          </w:p>
        </w:tc>
        <w:tc>
          <w:tcPr>
            <w:tcW w:w="7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7</w:t>
            </w:r>
          </w:p>
        </w:tc>
        <w:tc>
          <w:tcPr>
            <w:tcW w:w="9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8</w:t>
            </w:r>
          </w:p>
        </w:tc>
      </w:tr>
      <w:tr>
        <w:tblPrEx>
          <w:tblCellMar>
            <w:top w:w="15" w:type="dxa"/>
            <w:left w:w="15" w:type="dxa"/>
            <w:bottom w:w="15" w:type="dxa"/>
            <w:right w:w="15" w:type="dxa"/>
          </w:tblCellMar>
        </w:tblPrEx>
        <w:trPr>
          <w:trHeight w:val="72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预算数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10.06</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0.00</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8.00</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2.06</w:t>
            </w:r>
          </w:p>
        </w:tc>
        <w:tc>
          <w:tcPr>
            <w:tcW w:w="998"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0.00</w:t>
            </w:r>
          </w:p>
        </w:tc>
        <w:tc>
          <w:tcPr>
            <w:tcW w:w="118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2.06</w:t>
            </w:r>
          </w:p>
        </w:tc>
        <w:tc>
          <w:tcPr>
            <w:tcW w:w="77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5.00</w:t>
            </w:r>
          </w:p>
        </w:tc>
        <w:tc>
          <w:tcPr>
            <w:tcW w:w="96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0.00</w:t>
            </w:r>
          </w:p>
        </w:tc>
      </w:tr>
      <w:tr>
        <w:tblPrEx>
          <w:tblCellMar>
            <w:top w:w="15" w:type="dxa"/>
            <w:left w:w="15" w:type="dxa"/>
            <w:bottom w:w="15" w:type="dxa"/>
            <w:right w:w="15" w:type="dxa"/>
          </w:tblCellMar>
        </w:tblPrEx>
        <w:trPr>
          <w:trHeight w:val="738"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7.57</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0.00</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7.57</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0.00</w:t>
            </w:r>
          </w:p>
        </w:tc>
        <w:tc>
          <w:tcPr>
            <w:tcW w:w="998"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0.00</w:t>
            </w:r>
          </w:p>
        </w:tc>
        <w:tc>
          <w:tcPr>
            <w:tcW w:w="118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0.00</w:t>
            </w:r>
          </w:p>
        </w:tc>
        <w:tc>
          <w:tcPr>
            <w:tcW w:w="77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0.00</w:t>
            </w:r>
          </w:p>
        </w:tc>
        <w:tc>
          <w:tcPr>
            <w:tcW w:w="96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0.00</w:t>
            </w:r>
          </w:p>
        </w:tc>
      </w:tr>
    </w:tbl>
    <w:p>
      <w:pPr>
        <w:keepNext w:val="0"/>
        <w:keepLines w:val="0"/>
        <w:widowControl/>
        <w:suppressLineNumbers w:val="0"/>
        <w:jc w:val="left"/>
      </w:pPr>
      <w:r>
        <w:rPr>
          <w:rFonts w:hint="eastAsia" w:ascii="宋体" w:hAnsi="宋体" w:cs="宋体"/>
          <w:szCs w:val="21"/>
        </w:rPr>
        <w:t>注：本表反映部门本年度一般公共预算财政拨款“三公”经费、会议费、培训费的</w:t>
      </w:r>
      <w:r>
        <w:rPr>
          <w:rFonts w:hint="eastAsia" w:ascii="宋体" w:hAnsi="宋体" w:cs="宋体"/>
          <w:szCs w:val="21"/>
          <w:lang w:eastAsia="zh-CN"/>
        </w:rPr>
        <w:t>预算数和</w:t>
      </w:r>
      <w:r>
        <w:rPr>
          <w:rFonts w:hint="eastAsia" w:ascii="宋体" w:hAnsi="宋体" w:cs="宋体"/>
          <w:szCs w:val="21"/>
        </w:rPr>
        <w:t>实际支出。</w:t>
      </w:r>
      <w:r>
        <w:rPr>
          <w:rFonts w:hint="eastAsia" w:ascii="宋体" w:hAnsi="宋体" w:cs="宋体"/>
          <w:szCs w:val="21"/>
          <w:lang w:eastAsia="zh-CN"/>
        </w:rPr>
        <w:t>预算数为调整预算数。</w:t>
      </w:r>
      <w:r>
        <w:rPr>
          <w:rFonts w:hint="eastAsia" w:ascii="宋体" w:hAnsi="宋体" w:cs="宋体"/>
          <w:color w:val="000000"/>
          <w:kern w:val="0"/>
          <w:szCs w:val="21"/>
          <w:lang w:val="en-US" w:eastAsia="zh-CN"/>
        </w:rPr>
        <w:t>本表金额转换为万元时，因四舍五入可能存在尾差。</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政府性基金预算财政拨款收入支出决算表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公开08表</w:t>
      </w:r>
    </w:p>
    <w:p>
      <w:pPr>
        <w:rPr>
          <w:rFonts w:ascii="宋体" w:hAnsi="宋体" w:cs="宋体"/>
          <w:b/>
          <w:bCs/>
          <w:szCs w:val="21"/>
        </w:rPr>
      </w:pPr>
      <w:r>
        <w:rPr>
          <w:rFonts w:hint="eastAsia" w:ascii="宋体" w:hAnsi="宋体" w:cs="宋体"/>
          <w:b/>
          <w:bCs/>
          <w:szCs w:val="21"/>
        </w:rPr>
        <w:t>编制部门：                                                            金额单位：万元</w:t>
      </w:r>
    </w:p>
    <w:tbl>
      <w:tblPr>
        <w:tblStyle w:val="7"/>
        <w:tblW w:w="8877" w:type="dxa"/>
        <w:tblInd w:w="0" w:type="dxa"/>
        <w:tblLayout w:type="fixed"/>
        <w:tblCellMar>
          <w:top w:w="15" w:type="dxa"/>
          <w:left w:w="15" w:type="dxa"/>
          <w:bottom w:w="15" w:type="dxa"/>
          <w:right w:w="15" w:type="dxa"/>
        </w:tblCellMar>
      </w:tblPr>
      <w:tblGrid>
        <w:gridCol w:w="1023"/>
        <w:gridCol w:w="1341"/>
        <w:gridCol w:w="1049"/>
        <w:gridCol w:w="990"/>
        <w:gridCol w:w="930"/>
        <w:gridCol w:w="1049"/>
        <w:gridCol w:w="1024"/>
        <w:gridCol w:w="1471"/>
      </w:tblGrid>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年初结转和结余</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w:t>
            </w:r>
          </w:p>
        </w:tc>
        <w:tc>
          <w:tcPr>
            <w:tcW w:w="3003"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w:t>
            </w:r>
          </w:p>
        </w:tc>
        <w:tc>
          <w:tcPr>
            <w:tcW w:w="147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年末结转和结余</w:t>
            </w:r>
          </w:p>
        </w:tc>
      </w:tr>
      <w:tr>
        <w:tblPrEx>
          <w:tblCellMar>
            <w:top w:w="15" w:type="dxa"/>
            <w:left w:w="15" w:type="dxa"/>
            <w:bottom w:w="15" w:type="dxa"/>
            <w:right w:w="15" w:type="dxa"/>
          </w:tblCellMar>
        </w:tblPrEx>
        <w:trPr>
          <w:trHeight w:val="889"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3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47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049"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14"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keepNext w:val="0"/>
        <w:keepLines w:val="0"/>
        <w:widowControl/>
        <w:suppressLineNumbers w:val="0"/>
        <w:jc w:val="left"/>
      </w:pPr>
      <w:r>
        <w:rPr>
          <w:rFonts w:hint="eastAsia" w:ascii="宋体" w:hAnsi="宋体" w:cs="宋体"/>
          <w:szCs w:val="21"/>
        </w:rPr>
        <w:t>注：本表反映部门本年度政府性基金预算财政拨款收入支出及结转和结余情况。</w:t>
      </w:r>
      <w:r>
        <w:rPr>
          <w:rFonts w:hint="eastAsia" w:ascii="宋体" w:hAnsi="宋体" w:cs="宋体"/>
          <w:color w:val="000000"/>
          <w:kern w:val="0"/>
          <w:szCs w:val="21"/>
          <w:lang w:val="en-US" w:eastAsia="zh-CN"/>
        </w:rPr>
        <w:t>本表金额转换为万元时，因四舍五入可能存在尾差。</w:t>
      </w:r>
    </w:p>
    <w:p>
      <w:pPr>
        <w:rPr>
          <w:rFonts w:ascii="宋体" w:hAnsi="宋体" w:cs="宋体"/>
          <w:szCs w:val="21"/>
        </w:rPr>
      </w:pPr>
    </w:p>
    <w:p>
      <w:pPr>
        <w:jc w:val="center"/>
        <w:rPr>
          <w:rFonts w:hint="eastAsia" w:ascii="黑体" w:hAnsi="宋体" w:eastAsia="黑体"/>
          <w:color w:val="000000"/>
          <w:kern w:val="0"/>
          <w:sz w:val="44"/>
          <w:szCs w:val="44"/>
          <w:lang w:eastAsia="zh-CN" w:bidi="ar"/>
        </w:rPr>
      </w:pPr>
      <w:r>
        <w:rPr>
          <w:rFonts w:hint="eastAsia" w:ascii="黑体" w:hAnsi="宋体" w:eastAsia="黑体"/>
          <w:color w:val="000000"/>
          <w:kern w:val="0"/>
          <w:sz w:val="44"/>
          <w:szCs w:val="44"/>
          <w:lang w:bidi="ar"/>
        </w:rPr>
        <w:br w:type="page"/>
      </w:r>
      <w:r>
        <w:rPr>
          <w:rFonts w:hint="eastAsia" w:ascii="黑体" w:hAnsi="宋体" w:eastAsia="黑体"/>
          <w:color w:val="000000"/>
          <w:kern w:val="0"/>
          <w:sz w:val="44"/>
          <w:szCs w:val="44"/>
          <w:lang w:bidi="ar"/>
        </w:rPr>
        <w:t>第三部分 2019 年部门决算情况</w:t>
      </w:r>
      <w:r>
        <w:rPr>
          <w:rFonts w:hint="eastAsia" w:ascii="黑体" w:hAnsi="宋体" w:eastAsia="黑体"/>
          <w:color w:val="000000"/>
          <w:kern w:val="0"/>
          <w:sz w:val="44"/>
          <w:szCs w:val="44"/>
          <w:lang w:eastAsia="zh-CN" w:bidi="ar"/>
        </w:rPr>
        <w:t>说明</w:t>
      </w:r>
    </w:p>
    <w:p>
      <w:pPr>
        <w:widowControl/>
        <w:rPr>
          <w:rFonts w:ascii="黑体" w:hAnsi="宋体" w:eastAsia="黑体"/>
          <w:color w:val="000000"/>
          <w:kern w:val="0"/>
          <w:sz w:val="44"/>
          <w:szCs w:val="44"/>
          <w:lang w:bidi="ar"/>
        </w:rPr>
      </w:pP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一、收入支出决算总体情况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keepNext w:val="0"/>
        <w:keepLines w:val="0"/>
        <w:pageBreakBefore w:val="0"/>
        <w:widowControl w:val="0"/>
        <w:kinsoku/>
        <w:wordWrap/>
        <w:overflowPunct/>
        <w:topLinePunct w:val="0"/>
        <w:autoSpaceDE/>
        <w:autoSpaceDN/>
        <w:bidi w:val="0"/>
        <w:adjustRightInd/>
        <w:spacing w:line="560" w:lineRule="exact"/>
        <w:ind w:firstLine="720" w:firstLineChars="225"/>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杨陵区招商服务一局2019年总收入266.89万元，较上年209.71万元增加57.18万元，主要原因是富春项目35KV线路迁改费用支出及人员福利支出增加。</w:t>
      </w:r>
    </w:p>
    <w:p>
      <w:pPr>
        <w:keepNext w:val="0"/>
        <w:keepLines w:val="0"/>
        <w:pageBreakBefore w:val="0"/>
        <w:widowControl w:val="0"/>
        <w:kinsoku/>
        <w:wordWrap/>
        <w:overflowPunct/>
        <w:topLinePunct w:val="0"/>
        <w:autoSpaceDE/>
        <w:autoSpaceDN/>
        <w:bidi w:val="0"/>
        <w:adjustRightInd/>
        <w:spacing w:line="560" w:lineRule="exact"/>
        <w:ind w:firstLine="472" w:firstLineChars="225"/>
        <w:textAlignment w:val="auto"/>
        <w:rPr>
          <w:rFonts w:hint="eastAsia" w:ascii="仿宋_GB2312" w:hAnsi="仿宋_GB2312" w:eastAsia="仿宋_GB2312" w:cs="仿宋_GB2312"/>
          <w:kern w:val="2"/>
          <w:sz w:val="32"/>
          <w:szCs w:val="32"/>
          <w:lang w:val="en-US" w:eastAsia="zh-CN" w:bidi="ar-SA"/>
        </w:rPr>
      </w:pPr>
      <w:r>
        <w:drawing>
          <wp:anchor distT="0" distB="0" distL="114300" distR="114300" simplePos="0" relativeHeight="251658240" behindDoc="0" locked="0" layoutInCell="1" allowOverlap="1">
            <wp:simplePos x="0" y="0"/>
            <wp:positionH relativeFrom="column">
              <wp:posOffset>581025</wp:posOffset>
            </wp:positionH>
            <wp:positionV relativeFrom="paragraph">
              <wp:posOffset>1162050</wp:posOffset>
            </wp:positionV>
            <wp:extent cx="4572000" cy="2933700"/>
            <wp:effectExtent l="5080" t="4445" r="13970" b="14605"/>
            <wp:wrapTopAndBottom/>
            <wp:docPr id="8"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_GB2312" w:hAnsi="仿宋_GB2312" w:eastAsia="仿宋_GB2312" w:cs="仿宋_GB2312"/>
          <w:kern w:val="2"/>
          <w:sz w:val="32"/>
          <w:szCs w:val="32"/>
          <w:lang w:val="en-US" w:eastAsia="zh-CN" w:bidi="ar-SA"/>
        </w:rPr>
        <w:t>杨陵区招商服务一局2019年总支出268.55万元，较上年223.58万元增加44.97万元，主要原因是招商任务重，费用支出增加。</w:t>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二、收入决算情况</w:t>
      </w:r>
      <w:r>
        <w:rPr>
          <w:rFonts w:hint="eastAsia" w:ascii="黑体" w:hAnsi="黑体" w:eastAsia="黑体"/>
          <w:color w:val="000000"/>
          <w:kern w:val="0"/>
          <w:sz w:val="32"/>
          <w:szCs w:val="32"/>
          <w:lang w:eastAsia="zh-CN" w:bidi="ar"/>
        </w:rPr>
        <w:t>说明</w:t>
      </w:r>
    </w:p>
    <w:p>
      <w:pPr>
        <w:widowControl/>
        <w:ind w:firstLine="640" w:firstLineChars="200"/>
        <w:jc w:val="left"/>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2019</w:t>
      </w:r>
      <w:r>
        <w:rPr>
          <w:rFonts w:ascii="仿宋_GB2312" w:hAnsi="宋体" w:eastAsia="仿宋_GB2312" w:cs="仿宋_GB2312"/>
          <w:color w:val="000000"/>
          <w:kern w:val="0"/>
          <w:sz w:val="32"/>
          <w:szCs w:val="32"/>
          <w:lang w:bidi="ar"/>
        </w:rPr>
        <w:t>年收入合计</w:t>
      </w:r>
      <w:r>
        <w:rPr>
          <w:rFonts w:hint="eastAsia" w:ascii="仿宋_GB2312" w:hAnsi="宋体" w:eastAsia="仿宋_GB2312" w:cs="仿宋_GB2312"/>
          <w:color w:val="000000"/>
          <w:kern w:val="0"/>
          <w:sz w:val="32"/>
          <w:szCs w:val="32"/>
          <w:lang w:val="en-US" w:eastAsia="zh-CN" w:bidi="ar"/>
        </w:rPr>
        <w:t>266.89</w:t>
      </w:r>
      <w:r>
        <w:rPr>
          <w:rFonts w:ascii="仿宋_GB2312" w:hAnsi="宋体" w:eastAsia="仿宋_GB2312" w:cs="仿宋_GB2312"/>
          <w:color w:val="000000"/>
          <w:kern w:val="0"/>
          <w:sz w:val="32"/>
          <w:szCs w:val="32"/>
          <w:lang w:bidi="ar"/>
        </w:rPr>
        <w:t>万元，其中：财政拨款收入</w:t>
      </w:r>
      <w:r>
        <w:rPr>
          <w:rFonts w:hint="eastAsia" w:ascii="仿宋_GB2312" w:hAnsi="宋体" w:eastAsia="仿宋_GB2312" w:cs="仿宋_GB2312"/>
          <w:color w:val="000000"/>
          <w:kern w:val="0"/>
          <w:sz w:val="32"/>
          <w:szCs w:val="32"/>
          <w:lang w:val="en-US" w:eastAsia="zh-CN" w:bidi="ar"/>
        </w:rPr>
        <w:t>147.7</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55.34</w:t>
      </w:r>
      <w:r>
        <w:rPr>
          <w:rFonts w:ascii="仿宋_GB2312" w:hAnsi="宋体" w:eastAsia="仿宋_GB2312" w:cs="仿宋_GB2312"/>
          <w:color w:val="000000"/>
          <w:kern w:val="0"/>
          <w:sz w:val="32"/>
          <w:szCs w:val="32"/>
          <w:lang w:bidi="ar"/>
        </w:rPr>
        <w:t>%；事业收入</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%；经营收入</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%；其他收入</w:t>
      </w:r>
      <w:r>
        <w:rPr>
          <w:rFonts w:hint="eastAsia" w:ascii="仿宋_GB2312" w:hAnsi="宋体" w:eastAsia="仿宋_GB2312" w:cs="仿宋_GB2312"/>
          <w:color w:val="000000"/>
          <w:kern w:val="0"/>
          <w:sz w:val="32"/>
          <w:szCs w:val="32"/>
          <w:lang w:val="en-US" w:eastAsia="zh-CN" w:bidi="ar"/>
        </w:rPr>
        <w:t>119.19</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44.67</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w:t>
      </w:r>
    </w:p>
    <w:p>
      <w:pPr>
        <w:widowControl/>
        <w:jc w:val="center"/>
        <w:rPr>
          <w:rFonts w:hint="eastAsia" w:ascii="仿宋_GB2312" w:hAnsi="宋体" w:eastAsia="仿宋_GB2312" w:cs="仿宋_GB2312"/>
          <w:color w:val="000000"/>
          <w:kern w:val="0"/>
          <w:sz w:val="32"/>
          <w:szCs w:val="32"/>
          <w:lang w:bidi="ar"/>
        </w:rPr>
      </w:pPr>
      <w:r>
        <w:drawing>
          <wp:inline distT="0" distB="0" distL="114300" distR="114300">
            <wp:extent cx="4572000" cy="2743200"/>
            <wp:effectExtent l="4445" t="4445" r="14605" b="14605"/>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widowControl/>
        <w:ind w:firstLine="640" w:firstLineChars="200"/>
        <w:jc w:val="left"/>
        <w:rPr>
          <w:rFonts w:ascii="黑体" w:hAnsi="黑体" w:eastAsia="黑体"/>
        </w:rPr>
      </w:pPr>
      <w:r>
        <w:rPr>
          <w:rFonts w:hint="eastAsia" w:ascii="黑体" w:hAnsi="黑体" w:eastAsia="黑体"/>
          <w:color w:val="000000"/>
          <w:kern w:val="0"/>
          <w:sz w:val="32"/>
          <w:szCs w:val="32"/>
          <w:lang w:bidi="ar"/>
        </w:rPr>
        <w:t>三、支出决算情况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widowControl/>
        <w:ind w:firstLine="640" w:firstLineChars="200"/>
        <w:jc w:val="left"/>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2019</w:t>
      </w:r>
      <w:r>
        <w:rPr>
          <w:rFonts w:ascii="仿宋_GB2312" w:hAnsi="宋体" w:eastAsia="仿宋_GB2312" w:cs="仿宋_GB2312"/>
          <w:color w:val="000000"/>
          <w:kern w:val="0"/>
          <w:sz w:val="32"/>
          <w:szCs w:val="32"/>
          <w:lang w:bidi="ar"/>
        </w:rPr>
        <w:t>年支出合计</w:t>
      </w:r>
      <w:r>
        <w:rPr>
          <w:rFonts w:hint="eastAsia" w:ascii="仿宋_GB2312" w:hAnsi="宋体" w:eastAsia="仿宋_GB2312" w:cs="仿宋_GB2312"/>
          <w:color w:val="000000"/>
          <w:kern w:val="0"/>
          <w:sz w:val="32"/>
          <w:szCs w:val="32"/>
          <w:lang w:val="en-US" w:eastAsia="zh-CN" w:bidi="ar"/>
        </w:rPr>
        <w:t>268.55</w:t>
      </w:r>
      <w:r>
        <w:rPr>
          <w:rFonts w:ascii="仿宋_GB2312" w:hAnsi="宋体" w:eastAsia="仿宋_GB2312" w:cs="仿宋_GB2312"/>
          <w:color w:val="000000"/>
          <w:kern w:val="0"/>
          <w:sz w:val="32"/>
          <w:szCs w:val="32"/>
          <w:lang w:bidi="ar"/>
        </w:rPr>
        <w:t>万元，其中：基本支出</w:t>
      </w:r>
      <w:r>
        <w:rPr>
          <w:rFonts w:hint="eastAsia" w:ascii="仿宋_GB2312" w:hAnsi="宋体" w:eastAsia="仿宋_GB2312" w:cs="仿宋_GB2312"/>
          <w:color w:val="000000"/>
          <w:kern w:val="0"/>
          <w:sz w:val="32"/>
          <w:szCs w:val="32"/>
          <w:lang w:val="en-US" w:eastAsia="zh-CN" w:bidi="ar"/>
        </w:rPr>
        <w:t>132.54</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49.35</w:t>
      </w:r>
      <w:r>
        <w:rPr>
          <w:rFonts w:ascii="仿宋_GB2312" w:hAnsi="宋体" w:eastAsia="仿宋_GB2312" w:cs="仿宋_GB2312"/>
          <w:color w:val="000000"/>
          <w:kern w:val="0"/>
          <w:sz w:val="32"/>
          <w:szCs w:val="32"/>
          <w:lang w:bidi="ar"/>
        </w:rPr>
        <w:t>%；项目支出</w:t>
      </w:r>
      <w:r>
        <w:rPr>
          <w:rFonts w:hint="eastAsia" w:ascii="仿宋_GB2312" w:hAnsi="宋体" w:eastAsia="仿宋_GB2312" w:cs="仿宋_GB2312"/>
          <w:color w:val="000000"/>
          <w:kern w:val="0"/>
          <w:sz w:val="32"/>
          <w:szCs w:val="32"/>
          <w:lang w:val="en-US" w:eastAsia="zh-CN" w:bidi="ar"/>
        </w:rPr>
        <w:t>136.02</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50.65</w:t>
      </w:r>
      <w:r>
        <w:rPr>
          <w:rFonts w:ascii="仿宋_GB2312" w:hAnsi="宋体" w:eastAsia="仿宋_GB2312" w:cs="仿宋_GB2312"/>
          <w:color w:val="000000"/>
          <w:kern w:val="0"/>
          <w:sz w:val="32"/>
          <w:szCs w:val="32"/>
          <w:lang w:bidi="ar"/>
        </w:rPr>
        <w:t>%；经营支出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w:t>
      </w:r>
    </w:p>
    <w:p>
      <w:pPr>
        <w:widowControl/>
        <w:jc w:val="center"/>
        <w:rPr>
          <w:rFonts w:ascii="仿宋_GB2312" w:hAnsi="宋体" w:eastAsia="仿宋_GB2312" w:cs="仿宋_GB2312"/>
          <w:color w:val="000000"/>
          <w:kern w:val="0"/>
          <w:sz w:val="32"/>
          <w:szCs w:val="32"/>
          <w:lang w:bidi="ar"/>
        </w:rPr>
      </w:pPr>
      <w:r>
        <w:drawing>
          <wp:inline distT="0" distB="0" distL="114300" distR="114300">
            <wp:extent cx="4572000" cy="2743200"/>
            <wp:effectExtent l="4445" t="4445" r="14605" b="14605"/>
            <wp:docPr id="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四、财政拨款收入支出决算总体情况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keepNext w:val="0"/>
        <w:keepLines w:val="0"/>
        <w:pageBreakBefore w:val="0"/>
        <w:widowControl w:val="0"/>
        <w:kinsoku/>
        <w:wordWrap/>
        <w:overflowPunct/>
        <w:topLinePunct w:val="0"/>
        <w:autoSpaceDE/>
        <w:autoSpaceDN/>
        <w:bidi w:val="0"/>
        <w:adjustRightInd/>
        <w:spacing w:line="560" w:lineRule="exact"/>
        <w:ind w:firstLine="720" w:firstLineChars="225"/>
        <w:textAlignment w:val="auto"/>
        <w:rPr>
          <w:rFonts w:hint="eastAsia" w:ascii="仿宋" w:hAnsi="仿宋" w:eastAsia="仿宋"/>
          <w:sz w:val="32"/>
          <w:szCs w:val="32"/>
        </w:rPr>
      </w:pPr>
      <w:r>
        <w:rPr>
          <w:rFonts w:hint="eastAsia" w:ascii="仿宋_GB2312" w:hAnsi="仿宋_GB2312" w:eastAsia="仿宋_GB2312" w:cs="仿宋_GB2312"/>
          <w:kern w:val="2"/>
          <w:sz w:val="32"/>
          <w:szCs w:val="32"/>
          <w:lang w:val="en-US" w:eastAsia="zh-CN" w:bidi="ar-SA"/>
        </w:rPr>
        <w:t>杨陵区招商服务一局2019年</w:t>
      </w:r>
      <w:r>
        <w:rPr>
          <w:rFonts w:ascii="仿宋_GB2312" w:hAnsi="宋体" w:eastAsia="仿宋_GB2312" w:cs="仿宋_GB2312"/>
          <w:color w:val="000000"/>
          <w:kern w:val="0"/>
          <w:sz w:val="32"/>
          <w:szCs w:val="32"/>
          <w:lang w:bidi="ar"/>
        </w:rPr>
        <w:t>财政拨款</w:t>
      </w:r>
      <w:r>
        <w:rPr>
          <w:rFonts w:hint="eastAsia" w:ascii="仿宋_GB2312" w:hAnsi="仿宋" w:eastAsia="仿宋_GB2312"/>
          <w:sz w:val="32"/>
          <w:szCs w:val="32"/>
        </w:rPr>
        <w:t>收入</w:t>
      </w:r>
      <w:r>
        <w:rPr>
          <w:rFonts w:hint="eastAsia" w:ascii="仿宋_GB2312" w:hAnsi="仿宋_GB2312" w:eastAsia="仿宋_GB2312" w:cs="仿宋_GB2312"/>
          <w:kern w:val="2"/>
          <w:sz w:val="32"/>
          <w:szCs w:val="32"/>
          <w:lang w:val="en-US" w:eastAsia="zh-CN" w:bidi="ar-SA"/>
        </w:rPr>
        <w:t>147.7万元，较上年117.03万元增加30.67万元，主要原因是</w:t>
      </w:r>
      <w:r>
        <w:rPr>
          <w:rFonts w:hint="eastAsia" w:ascii="仿宋" w:hAnsi="仿宋" w:eastAsia="仿宋"/>
          <w:sz w:val="32"/>
          <w:szCs w:val="32"/>
        </w:rPr>
        <w:t>增加职工工资福利待遇等。</w:t>
      </w:r>
    </w:p>
    <w:p>
      <w:pPr>
        <w:keepNext w:val="0"/>
        <w:keepLines w:val="0"/>
        <w:pageBreakBefore w:val="0"/>
        <w:widowControl w:val="0"/>
        <w:kinsoku/>
        <w:wordWrap/>
        <w:overflowPunct/>
        <w:topLinePunct w:val="0"/>
        <w:autoSpaceDE/>
        <w:autoSpaceDN/>
        <w:bidi w:val="0"/>
        <w:adjustRightInd/>
        <w:spacing w:line="560" w:lineRule="exact"/>
        <w:ind w:firstLine="720" w:firstLineChars="225"/>
        <w:textAlignment w:val="auto"/>
        <w:rPr>
          <w:rFonts w:hint="eastAsia" w:ascii="仿宋" w:hAnsi="仿宋" w:eastAsia="仿宋"/>
          <w:sz w:val="32"/>
          <w:szCs w:val="32"/>
          <w:lang w:eastAsia="zh-CN"/>
        </w:rPr>
      </w:pPr>
      <w:r>
        <w:rPr>
          <w:rFonts w:hint="eastAsia" w:ascii="仿宋_GB2312" w:hAnsi="仿宋_GB2312" w:eastAsia="仿宋_GB2312" w:cs="仿宋_GB2312"/>
          <w:kern w:val="2"/>
          <w:sz w:val="32"/>
          <w:szCs w:val="32"/>
          <w:lang w:val="en-US" w:eastAsia="zh-CN" w:bidi="ar-SA"/>
        </w:rPr>
        <w:t>杨陵区招商服务一局2019年</w:t>
      </w:r>
      <w:r>
        <w:rPr>
          <w:rFonts w:ascii="仿宋_GB2312" w:hAnsi="宋体" w:eastAsia="仿宋_GB2312" w:cs="仿宋_GB2312"/>
          <w:color w:val="000000"/>
          <w:kern w:val="0"/>
          <w:sz w:val="32"/>
          <w:szCs w:val="32"/>
          <w:lang w:bidi="ar"/>
        </w:rPr>
        <w:t>财政拨款</w:t>
      </w:r>
      <w:r>
        <w:rPr>
          <w:rFonts w:hint="eastAsia" w:ascii="仿宋_GB2312" w:hAnsi="仿宋" w:eastAsia="仿宋_GB2312"/>
          <w:sz w:val="32"/>
          <w:szCs w:val="32"/>
          <w:lang w:eastAsia="zh-CN"/>
        </w:rPr>
        <w:t>支出</w:t>
      </w:r>
      <w:r>
        <w:rPr>
          <w:rFonts w:hint="eastAsia" w:ascii="仿宋_GB2312" w:hAnsi="仿宋_GB2312" w:eastAsia="仿宋_GB2312" w:cs="仿宋_GB2312"/>
          <w:kern w:val="2"/>
          <w:sz w:val="32"/>
          <w:szCs w:val="32"/>
          <w:lang w:val="en-US" w:eastAsia="zh-CN" w:bidi="ar-SA"/>
        </w:rPr>
        <w:t>149.36万元，较上年130.9万元增加18.46万元，主要原因是</w:t>
      </w:r>
      <w:r>
        <w:rPr>
          <w:rFonts w:hint="eastAsia" w:ascii="仿宋" w:hAnsi="仿宋" w:eastAsia="仿宋"/>
          <w:sz w:val="32"/>
          <w:szCs w:val="32"/>
        </w:rPr>
        <w:t>增加职工工资福利待遇等</w:t>
      </w:r>
      <w:r>
        <w:rPr>
          <w:rFonts w:hint="eastAsia" w:ascii="仿宋" w:hAnsi="仿宋" w:eastAsia="仿宋"/>
          <w:sz w:val="32"/>
          <w:szCs w:val="32"/>
          <w:lang w:eastAsia="zh-CN"/>
        </w:rPr>
        <w:t>。</w:t>
      </w:r>
    </w:p>
    <w:p>
      <w:pPr>
        <w:widowControl/>
        <w:ind w:firstLine="420" w:firstLineChars="200"/>
        <w:jc w:val="left"/>
        <w:rPr>
          <w:rFonts w:ascii="黑体" w:hAnsi="黑体" w:eastAsia="黑体"/>
          <w:color w:val="000000"/>
          <w:kern w:val="0"/>
          <w:sz w:val="32"/>
          <w:szCs w:val="32"/>
          <w:lang w:bidi="ar"/>
        </w:rPr>
      </w:pPr>
      <w:r>
        <w:drawing>
          <wp:anchor distT="0" distB="0" distL="114300" distR="114300" simplePos="0" relativeHeight="251659264" behindDoc="0" locked="0" layoutInCell="1" allowOverlap="1">
            <wp:simplePos x="0" y="0"/>
            <wp:positionH relativeFrom="column">
              <wp:posOffset>590550</wp:posOffset>
            </wp:positionH>
            <wp:positionV relativeFrom="paragraph">
              <wp:posOffset>28575</wp:posOffset>
            </wp:positionV>
            <wp:extent cx="4600575" cy="3047365"/>
            <wp:effectExtent l="4445" t="5080" r="5080" b="14605"/>
            <wp:wrapTopAndBottom/>
            <wp:docPr id="9"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黑体" w:hAnsi="黑体" w:eastAsia="黑体"/>
          <w:color w:val="000000"/>
          <w:kern w:val="0"/>
          <w:sz w:val="32"/>
          <w:szCs w:val="32"/>
          <w:lang w:bidi="ar"/>
        </w:rPr>
        <w:t>五、一般公共预算财政拨款支出决算情况</w:t>
      </w:r>
      <w:r>
        <w:rPr>
          <w:rFonts w:hint="eastAsia" w:ascii="黑体" w:hAnsi="黑体" w:eastAsia="黑体"/>
          <w:color w:val="000000"/>
          <w:kern w:val="0"/>
          <w:sz w:val="32"/>
          <w:szCs w:val="32"/>
          <w:lang w:eastAsia="zh-CN" w:bidi="ar"/>
        </w:rPr>
        <w:t>说明</w:t>
      </w:r>
    </w:p>
    <w:p>
      <w:pPr>
        <w:widowControl/>
        <w:ind w:firstLine="643" w:firstLineChars="200"/>
        <w:jc w:val="left"/>
        <w:rPr>
          <w:rFonts w:ascii="楷体_GB2312" w:hAnsi="宋体" w:eastAsia="楷体_GB2312" w:cs="楷体_GB2312"/>
          <w:b/>
          <w:color w:val="000000"/>
          <w:kern w:val="0"/>
          <w:sz w:val="32"/>
          <w:szCs w:val="32"/>
          <w:lang w:bidi="ar"/>
        </w:rPr>
      </w:pPr>
      <w:r>
        <w:rPr>
          <w:rFonts w:ascii="楷体_GB2312" w:hAnsi="宋体" w:eastAsia="楷体_GB2312" w:cs="楷体_GB2312"/>
          <w:b/>
          <w:color w:val="000000"/>
          <w:kern w:val="0"/>
          <w:sz w:val="32"/>
          <w:szCs w:val="32"/>
          <w:lang w:bidi="ar"/>
        </w:rPr>
        <w:t>（一）财政拨款支出决算总体情况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w:t>
      </w:r>
    </w:p>
    <w:p>
      <w:pPr>
        <w:widowControl/>
        <w:ind w:firstLine="640" w:firstLineChars="200"/>
        <w:jc w:val="left"/>
        <w:rPr>
          <w:rFonts w:hint="eastAsia" w:ascii="仿宋_GB2312" w:hAnsi="仿宋_GB2312" w:eastAsia="仿宋_GB2312" w:cs="仿宋_GB2312"/>
          <w:kern w:val="2"/>
          <w:sz w:val="32"/>
          <w:szCs w:val="32"/>
          <w:lang w:val="en-US" w:eastAsia="zh-CN" w:bidi="ar-SA"/>
        </w:rPr>
      </w:pPr>
      <w:r>
        <w:rPr>
          <w:rFonts w:ascii="仿宋_GB2312" w:hAnsi="宋体" w:eastAsia="仿宋_GB2312" w:cs="仿宋_GB2312"/>
          <w:color w:val="000000"/>
          <w:kern w:val="0"/>
          <w:sz w:val="32"/>
          <w:szCs w:val="32"/>
          <w:lang w:bidi="ar"/>
        </w:rPr>
        <w:t>2019 年财政拨款支出</w:t>
      </w:r>
      <w:r>
        <w:rPr>
          <w:rFonts w:hint="eastAsia" w:ascii="仿宋_GB2312" w:hAnsi="宋体" w:eastAsia="仿宋_GB2312" w:cs="仿宋_GB2312"/>
          <w:color w:val="000000"/>
          <w:kern w:val="0"/>
          <w:sz w:val="32"/>
          <w:szCs w:val="32"/>
          <w:lang w:val="en-US" w:eastAsia="zh-CN" w:bidi="ar"/>
        </w:rPr>
        <w:t>149.36</w:t>
      </w:r>
      <w:r>
        <w:rPr>
          <w:rFonts w:ascii="仿宋_GB2312" w:hAnsi="宋体" w:eastAsia="仿宋_GB2312" w:cs="仿宋_GB2312"/>
          <w:color w:val="000000"/>
          <w:kern w:val="0"/>
          <w:sz w:val="32"/>
          <w:szCs w:val="32"/>
          <w:lang w:bidi="ar"/>
        </w:rPr>
        <w:t>万元，占本年支出合计的</w:t>
      </w:r>
      <w:r>
        <w:rPr>
          <w:rFonts w:hint="eastAsia" w:ascii="仿宋_GB2312" w:hAnsi="宋体" w:eastAsia="仿宋_GB2312" w:cs="仿宋_GB2312"/>
          <w:color w:val="000000"/>
          <w:kern w:val="0"/>
          <w:sz w:val="32"/>
          <w:szCs w:val="32"/>
          <w:lang w:val="en-US" w:eastAsia="zh-CN" w:bidi="ar"/>
        </w:rPr>
        <w:t>55.62</w:t>
      </w:r>
      <w:r>
        <w:rPr>
          <w:rFonts w:ascii="仿宋_GB2312" w:hAnsi="宋体" w:eastAsia="仿宋_GB2312" w:cs="仿宋_GB2312"/>
          <w:color w:val="000000"/>
          <w:kern w:val="0"/>
          <w:sz w:val="32"/>
          <w:szCs w:val="32"/>
          <w:lang w:bidi="ar"/>
        </w:rPr>
        <w:t>%。与</w:t>
      </w:r>
      <w:r>
        <w:rPr>
          <w:rFonts w:hint="eastAsia" w:ascii="仿宋_GB2312" w:hAnsi="宋体" w:eastAsia="仿宋_GB2312" w:cs="仿宋_GB2312"/>
          <w:color w:val="000000"/>
          <w:kern w:val="0"/>
          <w:sz w:val="32"/>
          <w:szCs w:val="32"/>
          <w:lang w:bidi="ar"/>
        </w:rPr>
        <w:t>上年</w:t>
      </w:r>
      <w:r>
        <w:rPr>
          <w:rFonts w:ascii="仿宋_GB2312" w:hAnsi="宋体" w:eastAsia="仿宋_GB2312" w:cs="仿宋_GB2312"/>
          <w:color w:val="000000"/>
          <w:kern w:val="0"/>
          <w:sz w:val="32"/>
          <w:szCs w:val="32"/>
          <w:lang w:bidi="ar"/>
        </w:rPr>
        <w:t>相比，财政拨款支出</w:t>
      </w:r>
      <w:r>
        <w:rPr>
          <w:rFonts w:hint="eastAsia" w:ascii="仿宋_GB2312" w:hAnsi="仿宋_GB2312" w:eastAsia="仿宋_GB2312" w:cs="仿宋_GB2312"/>
          <w:kern w:val="2"/>
          <w:sz w:val="32"/>
          <w:szCs w:val="32"/>
          <w:lang w:val="en-US" w:eastAsia="zh-CN" w:bidi="ar-SA"/>
        </w:rPr>
        <w:t>增加18.46</w:t>
      </w:r>
      <w:r>
        <w:rPr>
          <w:rFonts w:ascii="仿宋_GB2312" w:hAnsi="宋体" w:eastAsia="仿宋_GB2312" w:cs="仿宋_GB2312"/>
          <w:color w:val="000000"/>
          <w:kern w:val="0"/>
          <w:sz w:val="32"/>
          <w:szCs w:val="32"/>
          <w:lang w:bidi="ar"/>
        </w:rPr>
        <w:t>万元，增长</w:t>
      </w:r>
      <w:r>
        <w:rPr>
          <w:rFonts w:hint="eastAsia" w:ascii="仿宋_GB2312" w:hAnsi="宋体" w:eastAsia="仿宋_GB2312" w:cs="仿宋_GB2312"/>
          <w:color w:val="000000"/>
          <w:kern w:val="0"/>
          <w:sz w:val="32"/>
          <w:szCs w:val="32"/>
          <w:lang w:val="en-US" w:eastAsia="zh-CN" w:bidi="ar"/>
        </w:rPr>
        <w:t>12.36</w:t>
      </w:r>
      <w:r>
        <w:rPr>
          <w:rFonts w:ascii="仿宋_GB2312" w:hAnsi="宋体" w:eastAsia="仿宋_GB2312" w:cs="仿宋_GB2312"/>
          <w:color w:val="000000"/>
          <w:kern w:val="0"/>
          <w:sz w:val="32"/>
          <w:szCs w:val="32"/>
          <w:lang w:bidi="ar"/>
        </w:rPr>
        <w:t>%，主要</w:t>
      </w:r>
      <w:r>
        <w:rPr>
          <w:rFonts w:hint="eastAsia" w:ascii="仿宋_GB2312" w:hAnsi="宋体" w:eastAsia="仿宋_GB2312" w:cs="仿宋_GB2312"/>
          <w:color w:val="000000"/>
          <w:kern w:val="0"/>
          <w:sz w:val="32"/>
          <w:szCs w:val="32"/>
          <w:lang w:bidi="ar"/>
        </w:rPr>
        <w:t>原因是</w:t>
      </w:r>
      <w:r>
        <w:rPr>
          <w:rFonts w:hint="eastAsia" w:ascii="仿宋_GB2312" w:hAnsi="仿宋_GB2312" w:eastAsia="仿宋_GB2312" w:cs="仿宋_GB2312"/>
          <w:kern w:val="2"/>
          <w:sz w:val="32"/>
          <w:szCs w:val="32"/>
          <w:lang w:val="en-US" w:eastAsia="zh-CN" w:bidi="ar-SA"/>
        </w:rPr>
        <w:t>人员福利支出增加。</w:t>
      </w:r>
    </w:p>
    <w:p>
      <w:pPr>
        <w:widowControl/>
        <w:jc w:val="center"/>
        <w:rPr>
          <w:rFonts w:hint="eastAsia" w:ascii="仿宋_GB2312" w:hAnsi="仿宋_GB2312" w:eastAsia="仿宋_GB2312" w:cs="仿宋_GB2312"/>
          <w:kern w:val="2"/>
          <w:sz w:val="32"/>
          <w:szCs w:val="32"/>
          <w:lang w:val="en-US" w:eastAsia="zh-CN" w:bidi="ar-SA"/>
        </w:rPr>
      </w:pPr>
    </w:p>
    <w:p>
      <w:pPr>
        <w:widowControl/>
        <w:jc w:val="center"/>
        <w:rPr>
          <w:rFonts w:hint="eastAsia" w:ascii="仿宋_GB2312" w:hAnsi="仿宋_GB2312" w:eastAsia="仿宋_GB2312" w:cs="仿宋_GB2312"/>
          <w:kern w:val="2"/>
          <w:sz w:val="32"/>
          <w:szCs w:val="32"/>
          <w:lang w:val="en-US" w:eastAsia="zh-CN" w:bidi="ar-SA"/>
        </w:rPr>
      </w:pPr>
    </w:p>
    <w:p>
      <w:pPr>
        <w:widowControl/>
        <w:jc w:val="center"/>
        <w:rPr>
          <w:rFonts w:hint="eastAsia" w:ascii="仿宋_GB2312" w:hAnsi="仿宋_GB2312" w:eastAsia="仿宋_GB2312" w:cs="仿宋_GB2312"/>
          <w:kern w:val="2"/>
          <w:sz w:val="32"/>
          <w:szCs w:val="32"/>
          <w:lang w:val="en-US" w:eastAsia="zh-CN" w:bidi="ar-SA"/>
        </w:rPr>
      </w:pPr>
    </w:p>
    <w:p>
      <w:pPr>
        <w:widowControl/>
        <w:jc w:val="center"/>
        <w:rPr>
          <w:rFonts w:hint="eastAsia" w:ascii="仿宋_GB2312" w:hAnsi="仿宋_GB2312" w:eastAsia="仿宋_GB2312" w:cs="仿宋_GB2312"/>
          <w:kern w:val="2"/>
          <w:sz w:val="32"/>
          <w:szCs w:val="32"/>
          <w:lang w:val="en-US" w:eastAsia="zh-CN" w:bidi="ar-SA"/>
        </w:rPr>
      </w:pPr>
      <w:r>
        <w:drawing>
          <wp:inline distT="0" distB="0" distL="114300" distR="114300">
            <wp:extent cx="4572000" cy="2743200"/>
            <wp:effectExtent l="4445" t="4445" r="14605" b="14605"/>
            <wp:docPr id="11"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numPr>
          <w:ilvl w:val="0"/>
          <w:numId w:val="1"/>
        </w:numPr>
        <w:spacing w:line="360" w:lineRule="auto"/>
        <w:ind w:left="0" w:leftChars="0" w:firstLine="643" w:firstLineChars="200"/>
        <w:rPr>
          <w:rFonts w:ascii="楷体_GB2312" w:hAnsi="宋体" w:eastAsia="楷体_GB2312" w:cs="楷体_GB2312"/>
          <w:b/>
          <w:color w:val="000000"/>
          <w:kern w:val="0"/>
          <w:sz w:val="32"/>
          <w:szCs w:val="32"/>
          <w:lang w:bidi="ar"/>
        </w:rPr>
      </w:pPr>
      <w:r>
        <w:rPr>
          <w:rFonts w:ascii="楷体_GB2312" w:hAnsi="宋体" w:eastAsia="楷体_GB2312" w:cs="楷体_GB2312"/>
          <w:b/>
          <w:color w:val="000000"/>
          <w:kern w:val="0"/>
          <w:sz w:val="32"/>
          <w:szCs w:val="32"/>
          <w:lang w:bidi="ar"/>
        </w:rPr>
        <w:t>财政拨款支出决算具体情况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w:t>
      </w:r>
    </w:p>
    <w:p>
      <w:pPr>
        <w:numPr>
          <w:ilvl w:val="0"/>
          <w:numId w:val="0"/>
        </w:numPr>
        <w:spacing w:line="360" w:lineRule="auto"/>
        <w:ind w:firstLine="640" w:firstLineChars="200"/>
        <w:rPr>
          <w:rFonts w:ascii="仿宋_GB2312" w:hAnsi="宋体" w:eastAsia="仿宋_GB2312" w:cs="仿宋_GB2312"/>
          <w:b/>
          <w:color w:val="000000"/>
          <w:kern w:val="0"/>
          <w:sz w:val="32"/>
          <w:szCs w:val="32"/>
        </w:rPr>
      </w:pPr>
      <w:r>
        <w:rPr>
          <w:rFonts w:ascii="仿宋_GB2312" w:hAnsi="宋体" w:eastAsia="仿宋_GB2312" w:cs="仿宋_GB2312"/>
          <w:color w:val="000000"/>
          <w:kern w:val="0"/>
          <w:sz w:val="32"/>
          <w:szCs w:val="32"/>
          <w:lang w:bidi="ar"/>
        </w:rPr>
        <w:t>2019 年财政拨款支出年初预算为</w:t>
      </w:r>
      <w:r>
        <w:rPr>
          <w:rFonts w:hint="eastAsia" w:ascii="仿宋_GB2312" w:hAnsi="宋体" w:eastAsia="仿宋_GB2312" w:cs="仿宋_GB2312"/>
          <w:color w:val="000000"/>
          <w:kern w:val="0"/>
          <w:sz w:val="32"/>
          <w:szCs w:val="32"/>
          <w:lang w:val="en-US" w:eastAsia="zh-CN" w:bidi="ar"/>
        </w:rPr>
        <w:t>139.23</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149.36</w:t>
      </w:r>
      <w:r>
        <w:rPr>
          <w:rFonts w:ascii="仿宋_GB2312" w:hAnsi="宋体" w:eastAsia="仿宋_GB2312" w:cs="仿宋_GB2312"/>
          <w:color w:val="000000"/>
          <w:kern w:val="0"/>
          <w:sz w:val="32"/>
          <w:szCs w:val="32"/>
          <w:lang w:bidi="ar"/>
        </w:rPr>
        <w:t>万元，完成年初预算的</w:t>
      </w:r>
      <w:r>
        <w:rPr>
          <w:rFonts w:hint="eastAsia" w:ascii="仿宋_GB2312" w:hAnsi="宋体" w:eastAsia="仿宋_GB2312" w:cs="仿宋_GB2312"/>
          <w:color w:val="000000"/>
          <w:kern w:val="0"/>
          <w:sz w:val="32"/>
          <w:szCs w:val="32"/>
          <w:lang w:val="en-US" w:eastAsia="zh-CN" w:bidi="ar"/>
        </w:rPr>
        <w:t>107.28</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按照政府功能分类科目，</w:t>
      </w:r>
      <w:r>
        <w:rPr>
          <w:rFonts w:ascii="仿宋_GB2312" w:hAnsi="宋体" w:eastAsia="仿宋_GB2312" w:cs="仿宋_GB2312"/>
          <w:color w:val="000000"/>
          <w:kern w:val="0"/>
          <w:sz w:val="32"/>
          <w:szCs w:val="32"/>
          <w:lang w:bidi="ar"/>
        </w:rPr>
        <w:t xml:space="preserve">其中： </w:t>
      </w:r>
    </w:p>
    <w:p>
      <w:pPr>
        <w:widowControl/>
        <w:ind w:firstLine="643" w:firstLineChars="200"/>
        <w:jc w:val="left"/>
      </w:pPr>
      <w:r>
        <w:rPr>
          <w:rFonts w:ascii="仿宋_GB2312" w:hAnsi="宋体" w:eastAsia="仿宋_GB2312" w:cs="仿宋_GB2312"/>
          <w:b/>
          <w:color w:val="000000"/>
          <w:kern w:val="0"/>
          <w:sz w:val="32"/>
          <w:szCs w:val="32"/>
        </w:rPr>
        <w:t>1.</w:t>
      </w:r>
      <w:r>
        <w:rPr>
          <w:rFonts w:hint="eastAsia" w:ascii="仿宋_GB2312" w:hAnsi="宋体" w:eastAsia="仿宋_GB2312" w:cs="仿宋_GB2312"/>
          <w:b/>
          <w:color w:val="000000"/>
          <w:kern w:val="0"/>
          <w:sz w:val="32"/>
          <w:szCs w:val="32"/>
        </w:rPr>
        <w:t>一般公共服务支出（类）商贸事务（款）行政运行（项）。</w:t>
      </w:r>
      <w:r>
        <w:rPr>
          <w:rFonts w:ascii="仿宋_GB2312" w:hAnsi="宋体" w:eastAsia="仿宋_GB2312" w:cs="仿宋_GB2312"/>
          <w:b/>
          <w:color w:val="000000"/>
          <w:kern w:val="0"/>
          <w:sz w:val="32"/>
          <w:szCs w:val="32"/>
        </w:rPr>
        <w:t xml:space="preserve"> </w:t>
      </w:r>
    </w:p>
    <w:p>
      <w:pPr>
        <w:widowControl/>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年初预算</w:t>
      </w:r>
      <w:r>
        <w:rPr>
          <w:rFonts w:hint="eastAsia" w:ascii="仿宋_GB2312" w:hAnsi="仿宋" w:eastAsia="仿宋_GB2312" w:cs="宋体"/>
          <w:kern w:val="0"/>
          <w:sz w:val="32"/>
          <w:szCs w:val="32"/>
        </w:rPr>
        <w:t>2011301行政运行</w:t>
      </w:r>
      <w:r>
        <w:rPr>
          <w:rFonts w:hint="eastAsia" w:ascii="仿宋_GB2312" w:hAnsi="仿宋_GB2312" w:eastAsia="仿宋_GB2312" w:cs="仿宋_GB2312"/>
          <w:kern w:val="0"/>
          <w:sz w:val="32"/>
          <w:szCs w:val="32"/>
          <w:lang w:val="en-US" w:eastAsia="zh-CN"/>
        </w:rPr>
        <w:t>119.23</w:t>
      </w:r>
      <w:r>
        <w:rPr>
          <w:rFonts w:hint="eastAsia" w:ascii="仿宋_GB2312" w:hAnsi="仿宋" w:eastAsia="仿宋_GB2312" w:cs="宋体"/>
          <w:kern w:val="0"/>
          <w:sz w:val="32"/>
          <w:szCs w:val="32"/>
        </w:rPr>
        <w:t>万元</w:t>
      </w:r>
      <w:r>
        <w:rPr>
          <w:rFonts w:hint="eastAsia" w:ascii="仿宋_GB2312" w:hAnsi="宋体" w:eastAsia="仿宋_GB2312" w:cs="仿宋_GB2312"/>
          <w:color w:val="000000"/>
          <w:kern w:val="0"/>
          <w:sz w:val="32"/>
          <w:szCs w:val="32"/>
        </w:rPr>
        <w:t>，支出决算为1</w:t>
      </w:r>
      <w:r>
        <w:rPr>
          <w:rFonts w:hint="eastAsia" w:ascii="仿宋_GB2312" w:hAnsi="宋体" w:eastAsia="仿宋_GB2312" w:cs="仿宋_GB2312"/>
          <w:color w:val="000000"/>
          <w:kern w:val="0"/>
          <w:sz w:val="32"/>
          <w:szCs w:val="32"/>
          <w:lang w:val="en-US" w:eastAsia="zh-CN"/>
        </w:rPr>
        <w:t>29.86</w:t>
      </w:r>
      <w:r>
        <w:rPr>
          <w:rFonts w:hint="eastAsia"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108.92</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，决算数大于预算数的主要原因是</w:t>
      </w:r>
      <w:r>
        <w:rPr>
          <w:rFonts w:hint="eastAsia" w:ascii="仿宋" w:hAnsi="仿宋" w:eastAsia="仿宋"/>
          <w:sz w:val="32"/>
          <w:szCs w:val="32"/>
        </w:rPr>
        <w:t>提高人员工资福利待遇等</w:t>
      </w:r>
      <w:r>
        <w:rPr>
          <w:rFonts w:hint="eastAsia" w:ascii="仿宋_GB2312" w:hAnsi="宋体" w:eastAsia="仿宋_GB2312" w:cs="仿宋_GB2312"/>
          <w:color w:val="000000"/>
          <w:kern w:val="0"/>
          <w:sz w:val="32"/>
          <w:szCs w:val="32"/>
        </w:rPr>
        <w:t>。</w:t>
      </w:r>
    </w:p>
    <w:p>
      <w:pPr>
        <w:widowControl/>
        <w:ind w:firstLine="640" w:firstLineChars="200"/>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2.</w:t>
      </w:r>
      <w:r>
        <w:rPr>
          <w:rFonts w:hint="eastAsia" w:ascii="仿宋_GB2312" w:hAnsi="宋体" w:eastAsia="仿宋_GB2312" w:cs="仿宋_GB2312"/>
          <w:b/>
          <w:color w:val="000000"/>
          <w:kern w:val="0"/>
          <w:sz w:val="32"/>
          <w:szCs w:val="32"/>
        </w:rPr>
        <w:t xml:space="preserve"> 一般公共服务支出（类）商贸事务（款）招商引资（项）。</w:t>
      </w:r>
      <w:r>
        <w:rPr>
          <w:rFonts w:hint="eastAsia" w:ascii="仿宋_GB2312" w:hAnsi="宋体" w:eastAsia="仿宋_GB2312" w:cs="仿宋_GB2312"/>
          <w:color w:val="000000"/>
          <w:kern w:val="0"/>
          <w:sz w:val="32"/>
          <w:szCs w:val="32"/>
        </w:rPr>
        <w:t>年初预算</w:t>
      </w:r>
      <w:r>
        <w:rPr>
          <w:rFonts w:hint="eastAsia" w:ascii="仿宋_GB2312" w:hAnsi="仿宋" w:eastAsia="仿宋_GB2312" w:cs="宋体"/>
          <w:kern w:val="0"/>
          <w:sz w:val="32"/>
          <w:szCs w:val="32"/>
        </w:rPr>
        <w:t>2011308招商引资</w:t>
      </w:r>
      <w:r>
        <w:rPr>
          <w:rFonts w:hint="eastAsia" w:ascii="仿宋_GB2312" w:hAnsi="仿宋" w:eastAsia="仿宋_GB2312" w:cs="宋体"/>
          <w:kern w:val="0"/>
          <w:sz w:val="32"/>
          <w:szCs w:val="32"/>
          <w:lang w:val="en-US" w:eastAsia="zh-CN"/>
        </w:rPr>
        <w:t>2</w:t>
      </w:r>
      <w:r>
        <w:rPr>
          <w:rFonts w:hint="eastAsia" w:ascii="仿宋_GB2312" w:hAnsi="仿宋" w:eastAsia="仿宋_GB2312" w:cs="宋体"/>
          <w:kern w:val="0"/>
          <w:sz w:val="32"/>
          <w:szCs w:val="32"/>
        </w:rPr>
        <w:t>0万元，</w:t>
      </w:r>
      <w:r>
        <w:rPr>
          <w:rFonts w:hint="eastAsia" w:ascii="仿宋_GB2312" w:hAnsi="宋体" w:eastAsia="仿宋_GB2312" w:cs="仿宋_GB2312"/>
          <w:color w:val="000000"/>
          <w:kern w:val="0"/>
          <w:sz w:val="32"/>
          <w:szCs w:val="32"/>
        </w:rPr>
        <w:t>支出决算为</w:t>
      </w:r>
      <w:r>
        <w:rPr>
          <w:rFonts w:hint="eastAsia" w:ascii="仿宋_GB2312" w:hAnsi="宋体" w:eastAsia="仿宋_GB2312" w:cs="仿宋_GB2312"/>
          <w:color w:val="000000"/>
          <w:kern w:val="0"/>
          <w:sz w:val="32"/>
          <w:szCs w:val="32"/>
          <w:lang w:val="en-US" w:eastAsia="zh-CN"/>
        </w:rPr>
        <w:t>8.4</w:t>
      </w:r>
      <w:r>
        <w:rPr>
          <w:rFonts w:hint="eastAsia"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42</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。决算数小于预算数的主要原因是年初预算招商业务未</w:t>
      </w:r>
      <w:r>
        <w:rPr>
          <w:rFonts w:hint="eastAsia" w:ascii="仿宋_GB2312" w:hAnsi="宋体" w:eastAsia="仿宋_GB2312" w:cs="仿宋_GB2312"/>
          <w:color w:val="000000"/>
          <w:kern w:val="0"/>
          <w:sz w:val="32"/>
          <w:szCs w:val="32"/>
          <w:lang w:eastAsia="zh-CN"/>
        </w:rPr>
        <w:t>全部</w:t>
      </w:r>
      <w:r>
        <w:rPr>
          <w:rFonts w:hint="eastAsia" w:ascii="仿宋_GB2312" w:hAnsi="宋体" w:eastAsia="仿宋_GB2312" w:cs="仿宋_GB2312"/>
          <w:color w:val="000000"/>
          <w:kern w:val="0"/>
          <w:sz w:val="32"/>
          <w:szCs w:val="32"/>
        </w:rPr>
        <w:t>开展。</w:t>
      </w:r>
    </w:p>
    <w:p>
      <w:pPr>
        <w:widowControl/>
        <w:ind w:firstLine="640" w:firstLineChars="200"/>
        <w:rPr>
          <w:rFonts w:ascii="仿宋_GB2312" w:hAnsi="宋体" w:eastAsia="仿宋_GB2312" w:cs="仿宋_GB2312"/>
          <w:b/>
          <w:color w:val="000000"/>
          <w:kern w:val="0"/>
          <w:sz w:val="32"/>
          <w:szCs w:val="32"/>
        </w:rPr>
      </w:pPr>
      <w:r>
        <w:rPr>
          <w:rFonts w:hint="eastAsia" w:ascii="仿宋_GB2312" w:hAnsi="宋体" w:eastAsia="仿宋_GB2312" w:cs="仿宋_GB2312"/>
          <w:color w:val="000000"/>
          <w:kern w:val="0"/>
          <w:sz w:val="32"/>
          <w:szCs w:val="32"/>
        </w:rPr>
        <w:t>3</w:t>
      </w:r>
      <w:r>
        <w:rPr>
          <w:rFonts w:ascii="仿宋_GB2312" w:hAnsi="宋体" w:eastAsia="仿宋_GB2312" w:cs="仿宋_GB2312"/>
          <w:color w:val="000000"/>
          <w:kern w:val="0"/>
          <w:sz w:val="32"/>
          <w:szCs w:val="32"/>
        </w:rPr>
        <w:t>.</w:t>
      </w:r>
      <w:r>
        <w:rPr>
          <w:rFonts w:hint="eastAsia" w:ascii="仿宋_GB2312" w:hAnsi="宋体" w:eastAsia="仿宋_GB2312" w:cs="仿宋_GB2312"/>
          <w:b/>
          <w:color w:val="000000"/>
          <w:kern w:val="0"/>
          <w:sz w:val="32"/>
          <w:szCs w:val="32"/>
        </w:rPr>
        <w:t xml:space="preserve"> 一般公共服务支出（类）商贸事务（款）其他商贸事务支出（项）。</w:t>
      </w:r>
      <w:r>
        <w:rPr>
          <w:rFonts w:hint="eastAsia" w:ascii="仿宋_GB2312" w:hAnsi="宋体" w:eastAsia="仿宋_GB2312" w:cs="仿宋_GB2312"/>
          <w:color w:val="000000"/>
          <w:kern w:val="0"/>
          <w:sz w:val="32"/>
          <w:szCs w:val="32"/>
        </w:rPr>
        <w:t>年初预算</w:t>
      </w:r>
      <w:r>
        <w:rPr>
          <w:rFonts w:ascii="仿宋_GB2312" w:hAnsi="仿宋" w:eastAsia="仿宋_GB2312" w:cs="宋体"/>
          <w:kern w:val="0"/>
          <w:sz w:val="32"/>
          <w:szCs w:val="32"/>
        </w:rPr>
        <w:t>2011399</w:t>
      </w:r>
      <w:r>
        <w:rPr>
          <w:rFonts w:hint="eastAsia" w:ascii="仿宋_GB2312" w:hAnsi="仿宋" w:eastAsia="仿宋_GB2312" w:cs="宋体"/>
          <w:kern w:val="0"/>
          <w:sz w:val="32"/>
          <w:szCs w:val="32"/>
        </w:rPr>
        <w:t>其他商贸事务支出0万元，</w:t>
      </w:r>
      <w:r>
        <w:rPr>
          <w:rFonts w:hint="eastAsia" w:ascii="仿宋_GB2312" w:hAnsi="宋体" w:eastAsia="仿宋_GB2312" w:cs="仿宋_GB2312"/>
          <w:color w:val="000000"/>
          <w:kern w:val="0"/>
          <w:sz w:val="32"/>
          <w:szCs w:val="32"/>
        </w:rPr>
        <w:t>支出决算为2.6</w:t>
      </w:r>
      <w:r>
        <w:rPr>
          <w:rFonts w:hint="eastAsia" w:ascii="仿宋_GB2312" w:hAnsi="宋体" w:eastAsia="仿宋_GB2312" w:cs="仿宋_GB2312"/>
          <w:color w:val="000000"/>
          <w:kern w:val="0"/>
          <w:sz w:val="32"/>
          <w:szCs w:val="32"/>
          <w:lang w:val="en-US" w:eastAsia="zh-CN"/>
        </w:rPr>
        <w:t>8</w:t>
      </w:r>
      <w:r>
        <w:rPr>
          <w:rFonts w:hint="eastAsia" w:ascii="仿宋_GB2312" w:hAnsi="宋体" w:eastAsia="仿宋_GB2312" w:cs="仿宋_GB2312"/>
          <w:color w:val="000000"/>
          <w:kern w:val="0"/>
          <w:sz w:val="32"/>
          <w:szCs w:val="32"/>
        </w:rPr>
        <w:t>万元，完成年初预算的0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。决算数大于预算数的主要原因是</w:t>
      </w:r>
      <w:r>
        <w:rPr>
          <w:rFonts w:hint="eastAsia" w:ascii="仿宋" w:hAnsi="仿宋" w:eastAsia="仿宋"/>
          <w:sz w:val="32"/>
          <w:szCs w:val="32"/>
        </w:rPr>
        <w:t>增加职工伙食补助。</w:t>
      </w:r>
    </w:p>
    <w:p>
      <w:pPr>
        <w:widowControl/>
        <w:ind w:firstLine="640" w:firstLineChars="200"/>
        <w:rPr>
          <w:rFonts w:ascii="仿宋_GB2312" w:hAnsi="仿宋" w:eastAsia="仿宋_GB2312" w:cs="宋体"/>
          <w:kern w:val="0"/>
          <w:sz w:val="32"/>
          <w:szCs w:val="32"/>
        </w:rPr>
      </w:pPr>
      <w:r>
        <w:rPr>
          <w:rFonts w:hint="eastAsia" w:ascii="仿宋_GB2312" w:hAnsi="宋体" w:eastAsia="仿宋_GB2312" w:cs="仿宋_GB2312"/>
          <w:color w:val="000000"/>
          <w:kern w:val="0"/>
          <w:sz w:val="32"/>
          <w:szCs w:val="32"/>
        </w:rPr>
        <w:t>4</w:t>
      </w:r>
      <w:r>
        <w:rPr>
          <w:rFonts w:ascii="仿宋_GB2312" w:hAnsi="宋体" w:eastAsia="仿宋_GB2312" w:cs="仿宋_GB2312"/>
          <w:color w:val="000000"/>
          <w:kern w:val="0"/>
          <w:sz w:val="32"/>
          <w:szCs w:val="32"/>
        </w:rPr>
        <w:t>.</w:t>
      </w:r>
      <w:r>
        <w:rPr>
          <w:rFonts w:hint="eastAsia" w:ascii="仿宋_GB2312" w:hAnsi="宋体" w:eastAsia="仿宋_GB2312" w:cs="仿宋_GB2312"/>
          <w:b/>
          <w:color w:val="000000"/>
          <w:kern w:val="0"/>
          <w:sz w:val="32"/>
          <w:szCs w:val="32"/>
        </w:rPr>
        <w:t xml:space="preserve"> 资源勘探信息等支出（类）支持中小企业发展和管理支出（款）中小企业发展专项（项）。</w:t>
      </w:r>
      <w:r>
        <w:rPr>
          <w:rFonts w:hint="eastAsia" w:ascii="仿宋_GB2312" w:hAnsi="宋体" w:eastAsia="仿宋_GB2312" w:cs="仿宋_GB2312"/>
          <w:color w:val="000000"/>
          <w:kern w:val="0"/>
          <w:sz w:val="32"/>
          <w:szCs w:val="32"/>
        </w:rPr>
        <w:t>年</w:t>
      </w:r>
      <w:r>
        <w:rPr>
          <w:rFonts w:hint="eastAsia" w:ascii="仿宋_GB2312" w:hAnsi="仿宋" w:eastAsia="仿宋_GB2312" w:cs="宋体"/>
          <w:kern w:val="0"/>
          <w:sz w:val="32"/>
          <w:szCs w:val="32"/>
        </w:rPr>
        <w:t>初预算2150805中小企业发展专项</w:t>
      </w:r>
      <w:r>
        <w:rPr>
          <w:rFonts w:hint="eastAsia" w:ascii="仿宋_GB2312" w:hAnsi="仿宋" w:eastAsia="仿宋_GB2312" w:cs="宋体"/>
          <w:kern w:val="0"/>
          <w:sz w:val="32"/>
          <w:szCs w:val="32"/>
        </w:rPr>
        <w:t>支出0万元，支出决算为</w:t>
      </w:r>
      <w:r>
        <w:rPr>
          <w:rFonts w:hint="eastAsia" w:ascii="仿宋_GB2312" w:hAnsi="仿宋" w:eastAsia="仿宋_GB2312" w:cs="宋体"/>
          <w:kern w:val="0"/>
          <w:sz w:val="32"/>
          <w:szCs w:val="32"/>
          <w:lang w:val="en-US" w:eastAsia="zh-CN"/>
        </w:rPr>
        <w:t>8.43</w:t>
      </w:r>
      <w:r>
        <w:rPr>
          <w:rFonts w:hint="eastAsia" w:ascii="仿宋_GB2312" w:hAnsi="仿宋" w:eastAsia="仿宋_GB2312" w:cs="宋体"/>
          <w:kern w:val="0"/>
          <w:sz w:val="32"/>
          <w:szCs w:val="32"/>
        </w:rPr>
        <w:t>万元，完成年初预算的0</w:t>
      </w:r>
      <w:r>
        <w:rPr>
          <w:rFonts w:ascii="仿宋_GB2312" w:hAnsi="仿宋" w:eastAsia="仿宋_GB2312" w:cs="宋体"/>
          <w:kern w:val="0"/>
          <w:sz w:val="32"/>
          <w:szCs w:val="32"/>
        </w:rPr>
        <w:t>%</w:t>
      </w:r>
      <w:r>
        <w:rPr>
          <w:rFonts w:hint="eastAsia" w:ascii="仿宋_GB2312" w:hAnsi="仿宋" w:eastAsia="仿宋_GB2312" w:cs="宋体"/>
          <w:kern w:val="0"/>
          <w:sz w:val="32"/>
          <w:szCs w:val="32"/>
        </w:rPr>
        <w:t>。决算数大于预算数的主要原因是</w:t>
      </w:r>
      <w:r>
        <w:rPr>
          <w:rFonts w:hint="eastAsia" w:ascii="仿宋_GB2312" w:hAnsi="仿宋" w:eastAsia="仿宋_GB2312" w:cs="宋体"/>
          <w:kern w:val="0"/>
          <w:sz w:val="32"/>
          <w:szCs w:val="32"/>
          <w:lang w:eastAsia="zh-CN"/>
        </w:rPr>
        <w:t>开展招商活动</w:t>
      </w:r>
      <w:r>
        <w:rPr>
          <w:rFonts w:hint="eastAsia" w:ascii="仿宋_GB2312" w:hAnsi="仿宋" w:eastAsia="仿宋_GB2312" w:cs="宋体"/>
          <w:kern w:val="0"/>
          <w:sz w:val="32"/>
          <w:szCs w:val="32"/>
        </w:rPr>
        <w:t>。</w:t>
      </w:r>
    </w:p>
    <w:p>
      <w:pPr>
        <w:spacing w:line="360" w:lineRule="auto"/>
        <w:ind w:firstLine="640" w:firstLineChars="200"/>
        <w:rPr>
          <w:rFonts w:ascii="仿宋_GB2312" w:hAnsi="仿宋" w:eastAsia="仿宋_GB2312"/>
          <w:sz w:val="32"/>
          <w:szCs w:val="32"/>
        </w:rPr>
      </w:pPr>
      <w:r>
        <w:rPr>
          <w:rFonts w:hint="eastAsia" w:ascii="黑体" w:hAnsi="黑体" w:eastAsia="黑体"/>
          <w:color w:val="000000"/>
          <w:kern w:val="0"/>
          <w:sz w:val="32"/>
          <w:szCs w:val="32"/>
          <w:lang w:bidi="ar"/>
        </w:rPr>
        <w:t>六、一般公共预算财政拨款基本支出决算情况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widowControl/>
        <w:ind w:firstLine="620" w:firstLineChars="200"/>
        <w:jc w:val="left"/>
        <w:rPr>
          <w:rFonts w:ascii="仿宋_GB2312" w:hAnsi="仿宋_GB2312" w:eastAsia="仿宋_GB2312" w:cs="仿宋_GB2312"/>
          <w:color w:val="000000"/>
          <w:kern w:val="0"/>
          <w:sz w:val="31"/>
          <w:szCs w:val="31"/>
          <w:lang w:bidi="ar"/>
        </w:rPr>
      </w:pPr>
      <w:r>
        <w:rPr>
          <w:rFonts w:ascii="仿宋_GB2312" w:hAnsi="仿宋_GB2312" w:eastAsia="仿宋_GB2312" w:cs="仿宋_GB2312"/>
          <w:color w:val="000000"/>
          <w:kern w:val="0"/>
          <w:sz w:val="31"/>
          <w:szCs w:val="31"/>
          <w:lang w:bidi="ar"/>
        </w:rPr>
        <w:t>201</w:t>
      </w:r>
      <w:r>
        <w:rPr>
          <w:rFonts w:hint="eastAsia" w:ascii="仿宋_GB2312" w:hAnsi="仿宋_GB2312" w:eastAsia="仿宋_GB2312" w:cs="仿宋_GB2312"/>
          <w:color w:val="000000"/>
          <w:kern w:val="0"/>
          <w:sz w:val="31"/>
          <w:szCs w:val="31"/>
          <w:lang w:bidi="ar"/>
        </w:rPr>
        <w:t>9</w:t>
      </w:r>
      <w:r>
        <w:rPr>
          <w:rFonts w:ascii="仿宋_GB2312" w:hAnsi="仿宋_GB2312" w:eastAsia="仿宋_GB2312" w:cs="仿宋_GB2312"/>
          <w:color w:val="000000"/>
          <w:kern w:val="0"/>
          <w:sz w:val="31"/>
          <w:szCs w:val="31"/>
          <w:lang w:bidi="ar"/>
        </w:rPr>
        <w:t>年一般公共预算财政拨款基本支出</w:t>
      </w:r>
      <w:r>
        <w:rPr>
          <w:rFonts w:hint="eastAsia" w:ascii="仿宋_GB2312" w:hAnsi="仿宋_GB2312" w:eastAsia="仿宋_GB2312" w:cs="仿宋_GB2312"/>
          <w:color w:val="000000"/>
          <w:kern w:val="0"/>
          <w:sz w:val="31"/>
          <w:szCs w:val="31"/>
          <w:lang w:val="en-US" w:eastAsia="zh-CN" w:bidi="ar"/>
        </w:rPr>
        <w:t>132.54</w:t>
      </w:r>
      <w:r>
        <w:rPr>
          <w:rFonts w:ascii="仿宋_GB2312" w:hAnsi="仿宋_GB2312" w:eastAsia="仿宋_GB2312" w:cs="仿宋_GB2312"/>
          <w:color w:val="000000"/>
          <w:kern w:val="0"/>
          <w:sz w:val="31"/>
          <w:szCs w:val="31"/>
          <w:lang w:bidi="ar"/>
        </w:rPr>
        <w:t>万元，包括：人员经费支出</w:t>
      </w:r>
      <w:r>
        <w:rPr>
          <w:rFonts w:hint="eastAsia" w:ascii="仿宋_GB2312" w:hAnsi="仿宋_GB2312" w:eastAsia="仿宋_GB2312" w:cs="仿宋_GB2312"/>
          <w:color w:val="000000"/>
          <w:kern w:val="0"/>
          <w:sz w:val="31"/>
          <w:szCs w:val="31"/>
          <w:lang w:val="en-US" w:eastAsia="zh-CN" w:bidi="ar"/>
        </w:rPr>
        <w:t>119.28</w:t>
      </w:r>
      <w:r>
        <w:rPr>
          <w:rFonts w:ascii="仿宋_GB2312" w:hAnsi="仿宋_GB2312" w:eastAsia="仿宋_GB2312" w:cs="仿宋_GB2312"/>
          <w:color w:val="000000"/>
          <w:kern w:val="0"/>
          <w:sz w:val="31"/>
          <w:szCs w:val="31"/>
          <w:lang w:bidi="ar"/>
        </w:rPr>
        <w:t>万元和公用经费支出</w:t>
      </w:r>
      <w:r>
        <w:rPr>
          <w:rFonts w:hint="eastAsia" w:ascii="仿宋_GB2312" w:hAnsi="仿宋_GB2312" w:eastAsia="仿宋_GB2312" w:cs="仿宋_GB2312"/>
          <w:color w:val="000000"/>
          <w:kern w:val="0"/>
          <w:sz w:val="31"/>
          <w:szCs w:val="31"/>
          <w:lang w:val="en-US" w:eastAsia="zh-CN" w:bidi="ar"/>
        </w:rPr>
        <w:t>13.26</w:t>
      </w:r>
      <w:r>
        <w:rPr>
          <w:rFonts w:ascii="仿宋_GB2312" w:hAnsi="仿宋_GB2312" w:eastAsia="仿宋_GB2312" w:cs="仿宋_GB2312"/>
          <w:color w:val="000000"/>
          <w:kern w:val="0"/>
          <w:sz w:val="31"/>
          <w:szCs w:val="31"/>
          <w:lang w:bidi="ar"/>
        </w:rPr>
        <w:t>万元。</w:t>
      </w:r>
    </w:p>
    <w:p>
      <w:pPr>
        <w:widowControl/>
        <w:ind w:firstLine="643" w:firstLineChars="200"/>
        <w:jc w:val="left"/>
        <w:rPr>
          <w:rFonts w:hint="eastAsia" w:ascii="仿宋_GB2312" w:hAnsi="宋体" w:eastAsia="仿宋_GB2312" w:cs="仿宋_GB2312"/>
          <w:color w:val="000000"/>
          <w:kern w:val="0"/>
          <w:sz w:val="32"/>
          <w:szCs w:val="32"/>
          <w:lang w:bidi="ar"/>
        </w:rPr>
      </w:pPr>
      <w:r>
        <w:rPr>
          <w:rFonts w:ascii="仿宋_GB2312" w:hAnsi="宋体" w:eastAsia="仿宋_GB2312" w:cs="仿宋_GB2312"/>
          <w:b/>
          <w:bCs/>
          <w:color w:val="000000"/>
          <w:kern w:val="0"/>
          <w:sz w:val="32"/>
          <w:szCs w:val="32"/>
          <w:lang w:bidi="ar"/>
        </w:rPr>
        <w:t>人员经费</w:t>
      </w:r>
      <w:r>
        <w:rPr>
          <w:rFonts w:hint="eastAsia" w:ascii="仿宋_GB2312" w:hAnsi="宋体" w:eastAsia="仿宋_GB2312" w:cs="仿宋_GB2312"/>
          <w:color w:val="000000"/>
          <w:kern w:val="0"/>
          <w:sz w:val="32"/>
          <w:szCs w:val="32"/>
          <w:lang w:val="en-US" w:eastAsia="zh-CN" w:bidi="ar"/>
        </w:rPr>
        <w:t>119.28</w:t>
      </w:r>
      <w:r>
        <w:rPr>
          <w:rFonts w:ascii="仿宋_GB2312" w:hAnsi="宋体" w:eastAsia="仿宋_GB2312" w:cs="仿宋_GB2312"/>
          <w:color w:val="000000"/>
          <w:kern w:val="0"/>
          <w:sz w:val="32"/>
          <w:szCs w:val="32"/>
          <w:lang w:bidi="ar"/>
        </w:rPr>
        <w:t>万元，主要包括基本工资</w:t>
      </w:r>
      <w:r>
        <w:rPr>
          <w:rFonts w:hint="eastAsia" w:ascii="仿宋_GB2312" w:hAnsi="宋体" w:eastAsia="仿宋_GB2312" w:cs="仿宋_GB2312"/>
          <w:color w:val="000000"/>
          <w:kern w:val="0"/>
          <w:sz w:val="32"/>
          <w:szCs w:val="32"/>
          <w:lang w:val="en-US" w:eastAsia="zh-CN" w:bidi="ar"/>
        </w:rPr>
        <w:t>34.77</w:t>
      </w:r>
      <w:r>
        <w:rPr>
          <w:rFonts w:hint="eastAsia"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eastAsia="zh-CN" w:bidi="ar"/>
        </w:rPr>
        <w:t>、津贴补贴</w:t>
      </w:r>
      <w:r>
        <w:rPr>
          <w:rFonts w:hint="eastAsia" w:ascii="仿宋_GB2312" w:hAnsi="宋体" w:eastAsia="仿宋_GB2312" w:cs="仿宋_GB2312"/>
          <w:color w:val="000000"/>
          <w:kern w:val="0"/>
          <w:sz w:val="32"/>
          <w:szCs w:val="32"/>
          <w:lang w:val="en-US" w:eastAsia="zh-CN" w:bidi="ar"/>
        </w:rPr>
        <w:t>27.4万元、奖金21.08万元、伙食补助2.53万元、绩效工资10.51万元、机关事业单位基本养老保险缴纳10.59万元、住房公积金11.97万元</w:t>
      </w:r>
      <w:r>
        <w:rPr>
          <w:rFonts w:hint="eastAsia" w:ascii="仿宋_GB2312" w:hAnsi="宋体" w:eastAsia="仿宋_GB2312" w:cs="仿宋_GB2312"/>
          <w:color w:val="000000"/>
          <w:kern w:val="0"/>
          <w:sz w:val="32"/>
          <w:szCs w:val="32"/>
          <w:lang w:bidi="ar"/>
        </w:rPr>
        <w:t>。</w:t>
      </w:r>
    </w:p>
    <w:p>
      <w:pPr>
        <w:widowControl/>
        <w:ind w:firstLine="643" w:firstLineChars="200"/>
        <w:jc w:val="left"/>
      </w:pPr>
      <w:r>
        <w:rPr>
          <w:rFonts w:ascii="仿宋_GB2312" w:hAnsi="宋体" w:eastAsia="仿宋_GB2312" w:cs="仿宋_GB2312"/>
          <w:b/>
          <w:bCs/>
          <w:color w:val="000000"/>
          <w:kern w:val="0"/>
          <w:sz w:val="32"/>
          <w:szCs w:val="32"/>
          <w:lang w:bidi="ar"/>
        </w:rPr>
        <w:t>公用经费</w:t>
      </w:r>
      <w:r>
        <w:rPr>
          <w:rFonts w:hint="eastAsia" w:ascii="仿宋_GB2312" w:hAnsi="宋体" w:eastAsia="仿宋_GB2312" w:cs="仿宋_GB2312"/>
          <w:color w:val="000000"/>
          <w:kern w:val="0"/>
          <w:sz w:val="32"/>
          <w:szCs w:val="32"/>
          <w:lang w:val="en-US" w:eastAsia="zh-CN" w:bidi="ar"/>
        </w:rPr>
        <w:t>13.26</w:t>
      </w:r>
      <w:r>
        <w:rPr>
          <w:rFonts w:ascii="仿宋_GB2312" w:hAnsi="宋体" w:eastAsia="仿宋_GB2312" w:cs="仿宋_GB2312"/>
          <w:color w:val="000000"/>
          <w:kern w:val="0"/>
          <w:sz w:val="32"/>
          <w:szCs w:val="32"/>
          <w:lang w:bidi="ar"/>
        </w:rPr>
        <w:t>万元，主要包括办公费</w:t>
      </w:r>
      <w:r>
        <w:rPr>
          <w:rFonts w:hint="eastAsia" w:ascii="仿宋_GB2312" w:hAnsi="宋体" w:eastAsia="仿宋_GB2312" w:cs="仿宋_GB2312"/>
          <w:color w:val="000000"/>
          <w:kern w:val="0"/>
          <w:sz w:val="32"/>
          <w:szCs w:val="32"/>
          <w:lang w:val="en-US" w:eastAsia="zh-CN" w:bidi="ar"/>
        </w:rPr>
        <w:t>1.31</w:t>
      </w:r>
      <w:r>
        <w:rPr>
          <w:rFonts w:hint="eastAsia"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eastAsia="zh-CN" w:bidi="ar"/>
        </w:rPr>
        <w:t>、印刷费</w:t>
      </w:r>
      <w:r>
        <w:rPr>
          <w:rFonts w:hint="eastAsia" w:ascii="仿宋_GB2312" w:hAnsi="宋体" w:eastAsia="仿宋_GB2312" w:cs="仿宋_GB2312"/>
          <w:color w:val="000000"/>
          <w:kern w:val="0"/>
          <w:sz w:val="32"/>
          <w:szCs w:val="32"/>
          <w:lang w:val="en-US" w:eastAsia="zh-CN" w:bidi="ar"/>
        </w:rPr>
        <w:t>0.33万元、水费0.26万元、电费0.46万元、邮电费2.66万元、取暖费0.44万元、物业管理费0.05万元、维修（护）费1.11万元、工会经费1.67万元、其他交通费用4.98万元</w:t>
      </w:r>
      <w:r>
        <w:rPr>
          <w:rFonts w:hint="eastAsia" w:ascii="仿宋_GB2312" w:hAnsi="宋体" w:eastAsia="仿宋_GB2312" w:cs="仿宋_GB2312"/>
          <w:color w:val="000000"/>
          <w:kern w:val="0"/>
          <w:sz w:val="32"/>
          <w:szCs w:val="32"/>
          <w:lang w:bidi="ar"/>
        </w:rPr>
        <w:t>。</w:t>
      </w:r>
    </w:p>
    <w:p>
      <w:pPr>
        <w:ind w:firstLine="640" w:firstLineChars="200"/>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七、一般公共预算财政拨款“三公”经费及会议费、培训费支出决算情况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widowControl/>
        <w:ind w:firstLine="643" w:firstLineChars="200"/>
        <w:jc w:val="left"/>
      </w:pPr>
      <w:r>
        <w:rPr>
          <w:rFonts w:ascii="楷体_GB2312" w:hAnsi="宋体" w:eastAsia="楷体_GB2312" w:cs="楷体_GB2312"/>
          <w:b/>
          <w:color w:val="000000"/>
          <w:kern w:val="0"/>
          <w:sz w:val="32"/>
          <w:szCs w:val="32"/>
          <w:lang w:bidi="ar"/>
        </w:rPr>
        <w:t>（一）“三公”经费财政拨款支出决算总体情况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 xml:space="preserve">。 </w:t>
      </w:r>
    </w:p>
    <w:p>
      <w:pPr>
        <w:widowControl/>
        <w:ind w:firstLine="640" w:firstLineChars="200"/>
        <w:jc w:val="left"/>
      </w:pPr>
      <w:r>
        <w:rPr>
          <w:rFonts w:ascii="仿宋_GB2312" w:hAnsi="宋体" w:eastAsia="仿宋_GB2312" w:cs="仿宋_GB2312"/>
          <w:color w:val="000000"/>
          <w:kern w:val="0"/>
          <w:sz w:val="32"/>
          <w:szCs w:val="32"/>
          <w:lang w:bidi="ar"/>
        </w:rPr>
        <w:t>2019年“三公”经费财政拨款支出预算为</w:t>
      </w:r>
      <w:r>
        <w:rPr>
          <w:rFonts w:hint="eastAsia" w:ascii="仿宋_GB2312" w:hAnsi="宋体" w:eastAsia="仿宋_GB2312" w:cs="仿宋_GB2312"/>
          <w:color w:val="000000"/>
          <w:kern w:val="0"/>
          <w:sz w:val="32"/>
          <w:szCs w:val="32"/>
          <w:lang w:val="en-US" w:eastAsia="zh-CN" w:bidi="ar"/>
        </w:rPr>
        <w:t>10.06</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7.57</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75.25</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减少</w:t>
      </w:r>
      <w:r>
        <w:rPr>
          <w:rFonts w:hint="eastAsia" w:ascii="仿宋_GB2312" w:hAnsi="宋体" w:eastAsia="仿宋_GB2312" w:cs="仿宋_GB2312"/>
          <w:color w:val="000000"/>
          <w:kern w:val="0"/>
          <w:sz w:val="32"/>
          <w:szCs w:val="32"/>
          <w:lang w:val="en-US" w:eastAsia="zh-CN" w:bidi="ar"/>
        </w:rPr>
        <w:t>2.49</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eastAsia="zh-CN" w:bidi="ar"/>
        </w:rPr>
        <w:t>无公务用车运行维护及公务接待减少</w:t>
      </w:r>
      <w:r>
        <w:rPr>
          <w:rFonts w:hint="eastAsia" w:ascii="仿宋_GB2312" w:hAnsi="宋体" w:eastAsia="仿宋_GB2312" w:cs="仿宋_GB2312"/>
          <w:color w:val="000000"/>
          <w:kern w:val="0"/>
          <w:sz w:val="32"/>
          <w:szCs w:val="32"/>
          <w:lang w:bidi="ar"/>
        </w:rPr>
        <w:t>。</w:t>
      </w:r>
    </w:p>
    <w:p>
      <w:pPr>
        <w:numPr>
          <w:ilvl w:val="0"/>
          <w:numId w:val="0"/>
        </w:numPr>
        <w:spacing w:line="360" w:lineRule="auto"/>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eastAsia="zh-CN" w:bidi="ar"/>
        </w:rPr>
        <w:t>（二）</w:t>
      </w:r>
      <w:r>
        <w:rPr>
          <w:rFonts w:ascii="楷体_GB2312" w:hAnsi="宋体" w:eastAsia="楷体_GB2312" w:cs="楷体_GB2312"/>
          <w:b/>
          <w:color w:val="000000"/>
          <w:kern w:val="0"/>
          <w:sz w:val="32"/>
          <w:szCs w:val="32"/>
          <w:lang w:bidi="ar"/>
        </w:rPr>
        <w:t>“三公”经费财政拨款支出决算具体情况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w:t>
      </w:r>
    </w:p>
    <w:p>
      <w:pPr>
        <w:widowControl/>
        <w:ind w:firstLine="640" w:firstLineChars="200"/>
        <w:jc w:val="left"/>
        <w:rPr>
          <w:rFonts w:ascii="仿宋_GB2312" w:hAnsi="宋体" w:eastAsia="仿宋_GB2312" w:cs="仿宋_GB2312"/>
          <w:color w:val="000000"/>
          <w:kern w:val="0"/>
          <w:sz w:val="32"/>
          <w:szCs w:val="32"/>
          <w:lang w:bidi="ar"/>
        </w:rPr>
      </w:pPr>
      <w:r>
        <w:rPr>
          <w:rFonts w:ascii="仿宋_GB2312" w:hAnsi="宋体" w:eastAsia="仿宋_GB2312" w:cs="仿宋_GB2312"/>
          <w:color w:val="000000"/>
          <w:kern w:val="0"/>
          <w:sz w:val="32"/>
          <w:szCs w:val="32"/>
          <w:lang w:bidi="ar"/>
        </w:rPr>
        <w:t>2019年“三公”经费财政拨款支出决算中，因公出国（境）费支出决算</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%；公务用车购置</w:t>
      </w:r>
      <w:r>
        <w:rPr>
          <w:rFonts w:hint="eastAsia" w:ascii="仿宋_GB2312" w:hAnsi="宋体" w:eastAsia="仿宋_GB2312" w:cs="仿宋_GB2312"/>
          <w:color w:val="000000"/>
          <w:kern w:val="0"/>
          <w:sz w:val="32"/>
          <w:szCs w:val="32"/>
          <w:lang w:bidi="ar"/>
        </w:rPr>
        <w:t>费支出</w:t>
      </w:r>
      <w:r>
        <w:rPr>
          <w:rFonts w:hint="eastAsia" w:ascii="仿宋_GB2312" w:hAnsi="宋体" w:eastAsia="仿宋_GB2312" w:cs="仿宋_GB2312"/>
          <w:color w:val="000000"/>
          <w:kern w:val="0"/>
          <w:sz w:val="32"/>
          <w:szCs w:val="32"/>
          <w:lang w:val="en-US" w:eastAsia="zh-CN" w:bidi="ar"/>
        </w:rPr>
        <w:t>0</w:t>
      </w:r>
      <w:r>
        <w:rPr>
          <w:rFonts w:hint="eastAsia"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%；公务用车运行</w:t>
      </w:r>
      <w:r>
        <w:rPr>
          <w:rFonts w:hint="eastAsia" w:ascii="仿宋_GB2312" w:hAnsi="仿宋" w:eastAsia="仿宋_GB2312"/>
          <w:sz w:val="32"/>
          <w:szCs w:val="32"/>
        </w:rPr>
        <w:t>维护</w:t>
      </w:r>
      <w:r>
        <w:rPr>
          <w:rFonts w:ascii="仿宋_GB2312" w:hAnsi="宋体" w:eastAsia="仿宋_GB2312" w:cs="仿宋_GB2312"/>
          <w:color w:val="000000"/>
          <w:kern w:val="0"/>
          <w:sz w:val="32"/>
          <w:szCs w:val="32"/>
          <w:lang w:bidi="ar"/>
        </w:rPr>
        <w:t>费支出决算</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%；公务接待费支出决算</w:t>
      </w:r>
      <w:r>
        <w:rPr>
          <w:rFonts w:hint="eastAsia" w:ascii="仿宋_GB2312" w:hAnsi="宋体" w:eastAsia="仿宋_GB2312" w:cs="仿宋_GB2312"/>
          <w:color w:val="000000"/>
          <w:kern w:val="0"/>
          <w:sz w:val="32"/>
          <w:szCs w:val="32"/>
          <w:lang w:val="en-US" w:eastAsia="zh-CN" w:bidi="ar"/>
        </w:rPr>
        <w:t>7.57</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100</w:t>
      </w:r>
      <w:r>
        <w:rPr>
          <w:rFonts w:ascii="仿宋_GB2312" w:hAnsi="宋体" w:eastAsia="仿宋_GB2312" w:cs="仿宋_GB2312"/>
          <w:color w:val="000000"/>
          <w:kern w:val="0"/>
          <w:sz w:val="32"/>
          <w:szCs w:val="32"/>
          <w:lang w:bidi="ar"/>
        </w:rPr>
        <w:t>%。具体情况如下：</w:t>
      </w:r>
    </w:p>
    <w:p>
      <w:pPr>
        <w:widowControl/>
        <w:jc w:val="center"/>
        <w:rPr>
          <w:rFonts w:ascii="仿宋_GB2312" w:hAnsi="宋体" w:eastAsia="仿宋_GB2312" w:cs="仿宋_GB2312"/>
          <w:color w:val="000000"/>
          <w:kern w:val="0"/>
          <w:sz w:val="32"/>
          <w:szCs w:val="32"/>
          <w:lang w:bidi="ar"/>
        </w:rPr>
      </w:pPr>
      <w:r>
        <w:drawing>
          <wp:inline distT="0" distB="0" distL="114300" distR="114300">
            <wp:extent cx="4258310" cy="2334260"/>
            <wp:effectExtent l="5080" t="4445" r="22860" b="23495"/>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1.因公出国（境）支出情况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widowControl/>
        <w:ind w:firstLine="640" w:firstLineChars="200"/>
        <w:jc w:val="left"/>
      </w:pPr>
      <w:r>
        <w:rPr>
          <w:rFonts w:hint="eastAsia" w:ascii="仿宋_GB2312" w:hAnsi="仿宋" w:eastAsia="仿宋_GB2312"/>
          <w:sz w:val="32"/>
          <w:szCs w:val="32"/>
        </w:rPr>
        <w:t>2019年因公出国（境）团组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eastAsia="zh-CN" w:bidi="ar"/>
        </w:rPr>
        <w:t>无变化</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eastAsia="zh-CN" w:bidi="ar"/>
        </w:rPr>
        <w:t>未</w:t>
      </w:r>
      <w:r>
        <w:rPr>
          <w:rFonts w:hint="eastAsia" w:ascii="仿宋_GB2312" w:hAnsi="宋体" w:eastAsia="仿宋_GB2312" w:cs="仿宋_GB2312"/>
          <w:color w:val="000000"/>
          <w:kern w:val="0"/>
          <w:sz w:val="32"/>
          <w:szCs w:val="32"/>
          <w:lang w:bidi="ar"/>
        </w:rPr>
        <w:t>因公出国（境）。</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2.公务用车购置费用支出情况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widowControl/>
        <w:ind w:firstLine="640" w:firstLineChars="200"/>
        <w:jc w:val="left"/>
      </w:pPr>
      <w:r>
        <w:rPr>
          <w:rFonts w:hint="eastAsia" w:ascii="仿宋_GB2312" w:hAnsi="仿宋" w:eastAsia="仿宋_GB2312"/>
          <w:sz w:val="32"/>
          <w:szCs w:val="32"/>
        </w:rPr>
        <w:t>2019年购置车辆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0</w:t>
      </w:r>
      <w:r>
        <w:rPr>
          <w:rFonts w:hint="eastAsia" w:ascii="仿宋_GB2312" w:hAnsi="宋体" w:eastAsia="仿宋_GB2312" w:cs="仿宋_GB2312"/>
          <w:color w:val="000000"/>
          <w:kern w:val="0"/>
          <w:sz w:val="32"/>
          <w:szCs w:val="32"/>
          <w:lang w:bidi="ar"/>
        </w:rPr>
        <w:t>%，决</w:t>
      </w:r>
      <w:r>
        <w:rPr>
          <w:rFonts w:ascii="仿宋_GB2312" w:hAnsi="宋体" w:eastAsia="仿宋_GB2312" w:cs="仿宋_GB2312"/>
          <w:color w:val="000000"/>
          <w:kern w:val="0"/>
          <w:sz w:val="32"/>
          <w:szCs w:val="32"/>
          <w:lang w:bidi="ar"/>
        </w:rPr>
        <w:t>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eastAsia="zh-CN" w:bidi="ar"/>
        </w:rPr>
        <w:t>无变化</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eastAsia="zh-CN" w:bidi="ar"/>
        </w:rPr>
        <w:t>未购置公务用车</w:t>
      </w:r>
      <w:r>
        <w:rPr>
          <w:rFonts w:hint="eastAsia" w:ascii="仿宋_GB2312" w:hAnsi="宋体" w:eastAsia="仿宋_GB2312" w:cs="仿宋_GB2312"/>
          <w:color w:val="000000"/>
          <w:kern w:val="0"/>
          <w:sz w:val="32"/>
          <w:szCs w:val="32"/>
          <w:lang w:bidi="ar"/>
        </w:rPr>
        <w:t>。</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3.公务用车运行维护费用支出情况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widowControl/>
        <w:ind w:firstLine="640" w:firstLineChars="200"/>
        <w:jc w:val="left"/>
        <w:rPr>
          <w:rFonts w:ascii="仿宋_GB2312" w:hAnsi="宋体" w:eastAsia="仿宋_GB2312" w:cs="仿宋_GB2312"/>
          <w:color w:val="000000"/>
          <w:kern w:val="0"/>
          <w:sz w:val="32"/>
          <w:szCs w:val="32"/>
          <w:lang w:bidi="ar"/>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公务用车运行维护费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2.06</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0</w:t>
      </w:r>
      <w:r>
        <w:rPr>
          <w:rFonts w:hint="eastAsia" w:ascii="仿宋_GB2312" w:hAnsi="宋体" w:eastAsia="仿宋_GB2312" w:cs="仿宋_GB2312"/>
          <w:color w:val="000000"/>
          <w:kern w:val="0"/>
          <w:sz w:val="32"/>
          <w:szCs w:val="32"/>
          <w:lang w:bidi="ar"/>
        </w:rPr>
        <w:t>%，决</w:t>
      </w:r>
      <w:r>
        <w:rPr>
          <w:rFonts w:ascii="仿宋_GB2312" w:hAnsi="宋体" w:eastAsia="仿宋_GB2312" w:cs="仿宋_GB2312"/>
          <w:color w:val="000000"/>
          <w:kern w:val="0"/>
          <w:sz w:val="32"/>
          <w:szCs w:val="32"/>
          <w:lang w:bidi="ar"/>
        </w:rPr>
        <w:t>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减少</w:t>
      </w:r>
      <w:r>
        <w:rPr>
          <w:rFonts w:hint="eastAsia" w:ascii="仿宋_GB2312" w:hAnsi="宋体" w:eastAsia="仿宋_GB2312" w:cs="仿宋_GB2312"/>
          <w:color w:val="000000"/>
          <w:kern w:val="0"/>
          <w:sz w:val="32"/>
          <w:szCs w:val="32"/>
          <w:lang w:val="en-US" w:eastAsia="zh-CN" w:bidi="ar"/>
        </w:rPr>
        <w:t>2.06</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eastAsia="zh-CN" w:bidi="ar"/>
        </w:rPr>
        <w:t>无公务用车运行维护</w:t>
      </w:r>
      <w:r>
        <w:rPr>
          <w:rFonts w:hint="eastAsia" w:ascii="仿宋_GB2312" w:hAnsi="宋体" w:eastAsia="仿宋_GB2312" w:cs="仿宋_GB2312"/>
          <w:color w:val="000000"/>
          <w:kern w:val="0"/>
          <w:sz w:val="32"/>
          <w:szCs w:val="32"/>
          <w:lang w:bidi="ar"/>
        </w:rPr>
        <w:t>。</w:t>
      </w:r>
    </w:p>
    <w:p>
      <w:pPr>
        <w:ind w:firstLine="643" w:firstLineChars="200"/>
        <w:rPr>
          <w:rFonts w:ascii="仿宋_GB2312" w:hAnsi="仿宋" w:eastAsia="仿宋_GB2312"/>
          <w:sz w:val="32"/>
          <w:szCs w:val="32"/>
        </w:rPr>
      </w:pPr>
      <w:r>
        <w:rPr>
          <w:rFonts w:hint="eastAsia" w:ascii="仿宋_GB2312" w:hAnsi="仿宋" w:eastAsia="仿宋_GB2312"/>
          <w:b/>
          <w:bCs/>
          <w:sz w:val="32"/>
          <w:szCs w:val="32"/>
        </w:rPr>
        <w:t>4.公务接待费支出情况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widowControl/>
        <w:ind w:firstLine="640" w:firstLineChars="200"/>
        <w:jc w:val="left"/>
        <w:rPr>
          <w:rFonts w:hint="eastAsia" w:ascii="仿宋_GB2312" w:hAnsi="宋体" w:eastAsia="仿宋_GB2312" w:cs="仿宋_GB2312"/>
          <w:color w:val="000000"/>
          <w:kern w:val="0"/>
          <w:sz w:val="32"/>
          <w:szCs w:val="32"/>
          <w:lang w:bidi="ar"/>
        </w:rPr>
      </w:pPr>
      <w:r>
        <w:rPr>
          <w:rFonts w:hint="eastAsia" w:ascii="仿宋_GB2312" w:hAnsi="仿宋" w:eastAsia="仿宋_GB2312"/>
          <w:sz w:val="32"/>
          <w:szCs w:val="32"/>
        </w:rPr>
        <w:t>2019年公务接待</w:t>
      </w:r>
      <w:r>
        <w:rPr>
          <w:rFonts w:hint="eastAsia" w:ascii="仿宋_GB2312" w:hAnsi="仿宋_GB2312" w:eastAsia="仿宋_GB2312" w:cs="仿宋_GB2312"/>
          <w:sz w:val="32"/>
          <w:szCs w:val="32"/>
          <w:lang w:val="en-US" w:eastAsia="zh-CN"/>
        </w:rPr>
        <w:t>210</w:t>
      </w:r>
      <w:r>
        <w:rPr>
          <w:rFonts w:hint="eastAsia" w:ascii="仿宋_GB2312" w:hAnsi="仿宋_GB2312" w:eastAsia="仿宋_GB2312" w:cs="仿宋_GB2312"/>
          <w:sz w:val="32"/>
          <w:szCs w:val="32"/>
        </w:rPr>
        <w:t>批次，</w:t>
      </w:r>
      <w:r>
        <w:rPr>
          <w:rFonts w:hint="eastAsia" w:ascii="仿宋_GB2312" w:hAnsi="仿宋_GB2312" w:eastAsia="仿宋_GB2312" w:cs="仿宋_GB2312"/>
          <w:sz w:val="32"/>
          <w:szCs w:val="32"/>
          <w:lang w:val="en-US" w:eastAsia="zh-CN"/>
        </w:rPr>
        <w:t>1205</w:t>
      </w:r>
      <w:r>
        <w:rPr>
          <w:rFonts w:hint="eastAsia" w:ascii="仿宋_GB2312" w:hAnsi="仿宋_GB2312" w:eastAsia="仿宋_GB2312" w:cs="仿宋_GB2312"/>
          <w:sz w:val="32"/>
          <w:szCs w:val="32"/>
        </w:rPr>
        <w:t>人次，</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8</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7.57</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94.63</w:t>
      </w:r>
      <w:r>
        <w:rPr>
          <w:rFonts w:hint="eastAsia" w:ascii="仿宋_GB2312" w:hAnsi="宋体" w:eastAsia="仿宋_GB2312" w:cs="仿宋_GB2312"/>
          <w:color w:val="000000"/>
          <w:kern w:val="0"/>
          <w:sz w:val="32"/>
          <w:szCs w:val="32"/>
          <w:lang w:bidi="ar"/>
        </w:rPr>
        <w:t>%，决</w:t>
      </w:r>
      <w:r>
        <w:rPr>
          <w:rFonts w:ascii="仿宋_GB2312" w:hAnsi="宋体" w:eastAsia="仿宋_GB2312" w:cs="仿宋_GB2312"/>
          <w:color w:val="000000"/>
          <w:kern w:val="0"/>
          <w:sz w:val="32"/>
          <w:szCs w:val="32"/>
          <w:lang w:bidi="ar"/>
        </w:rPr>
        <w:t>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减少</w:t>
      </w:r>
      <w:r>
        <w:rPr>
          <w:rFonts w:hint="eastAsia" w:ascii="仿宋_GB2312" w:hAnsi="宋体" w:eastAsia="仿宋_GB2312" w:cs="仿宋_GB2312"/>
          <w:color w:val="000000"/>
          <w:kern w:val="0"/>
          <w:sz w:val="32"/>
          <w:szCs w:val="32"/>
          <w:lang w:val="en-US" w:eastAsia="zh-CN" w:bidi="ar"/>
        </w:rPr>
        <w:t>0.43</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eastAsia="zh-CN" w:bidi="ar"/>
        </w:rPr>
        <w:t>减少公务接待</w:t>
      </w:r>
      <w:r>
        <w:rPr>
          <w:rFonts w:hint="eastAsia" w:ascii="仿宋_GB2312" w:hAnsi="宋体" w:eastAsia="仿宋_GB2312" w:cs="仿宋_GB2312"/>
          <w:color w:val="000000"/>
          <w:kern w:val="0"/>
          <w:sz w:val="32"/>
          <w:szCs w:val="32"/>
          <w:lang w:bidi="ar"/>
        </w:rPr>
        <w:t>。</w:t>
      </w:r>
    </w:p>
    <w:p>
      <w:pPr>
        <w:widowControl/>
        <w:jc w:val="center"/>
        <w:rPr>
          <w:rFonts w:hint="eastAsia" w:ascii="仿宋_GB2312" w:hAnsi="宋体" w:eastAsia="仿宋_GB2312" w:cs="仿宋_GB2312"/>
          <w:color w:val="000000"/>
          <w:kern w:val="0"/>
          <w:sz w:val="32"/>
          <w:szCs w:val="32"/>
          <w:lang w:bidi="ar"/>
        </w:rPr>
      </w:pPr>
      <w:r>
        <w:drawing>
          <wp:inline distT="0" distB="0" distL="114300" distR="114300">
            <wp:extent cx="4705985" cy="2637790"/>
            <wp:effectExtent l="4445" t="5080" r="13970" b="5080"/>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（三）培训费支出情况</w:t>
      </w:r>
      <w:r>
        <w:rPr>
          <w:rFonts w:hint="eastAsia" w:ascii="楷体_GB2312" w:hAnsi="宋体" w:eastAsia="楷体_GB2312" w:cs="楷体_GB2312"/>
          <w:b/>
          <w:color w:val="000000"/>
          <w:kern w:val="0"/>
          <w:sz w:val="32"/>
          <w:szCs w:val="32"/>
          <w:lang w:eastAsia="zh-CN" w:bidi="ar"/>
        </w:rPr>
        <w:t>说明</w:t>
      </w:r>
      <w:r>
        <w:rPr>
          <w:rFonts w:hint="eastAsia" w:ascii="楷体_GB2312" w:hAnsi="宋体" w:eastAsia="楷体_GB2312" w:cs="楷体_GB2312"/>
          <w:b/>
          <w:color w:val="000000"/>
          <w:kern w:val="0"/>
          <w:sz w:val="32"/>
          <w:szCs w:val="32"/>
          <w:lang w:bidi="ar"/>
        </w:rPr>
        <w:t>。</w:t>
      </w:r>
    </w:p>
    <w:p>
      <w:pPr>
        <w:widowControl/>
        <w:ind w:firstLine="640" w:firstLineChars="200"/>
        <w:jc w:val="left"/>
        <w:rPr>
          <w:rFonts w:ascii="仿宋_GB2312" w:hAnsi="宋体" w:eastAsia="仿宋_GB2312" w:cs="仿宋_GB2312"/>
          <w:color w:val="000000"/>
          <w:kern w:val="0"/>
          <w:sz w:val="32"/>
          <w:szCs w:val="32"/>
          <w:lang w:bidi="ar"/>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培训费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eastAsia="zh-CN" w:bidi="ar"/>
        </w:rPr>
        <w:t>无变化</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eastAsia="zh-CN" w:bidi="ar"/>
        </w:rPr>
        <w:t>未组织培训</w:t>
      </w:r>
      <w:r>
        <w:rPr>
          <w:rFonts w:hint="eastAsia" w:ascii="仿宋_GB2312" w:hAnsi="宋体" w:eastAsia="仿宋_GB2312" w:cs="仿宋_GB2312"/>
          <w:color w:val="000000"/>
          <w:kern w:val="0"/>
          <w:sz w:val="32"/>
          <w:szCs w:val="32"/>
          <w:lang w:bidi="ar"/>
        </w:rPr>
        <w:t>。</w:t>
      </w:r>
    </w:p>
    <w:p>
      <w:pPr>
        <w:spacing w:line="360" w:lineRule="auto"/>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（四）会议费支出情况</w:t>
      </w:r>
      <w:r>
        <w:rPr>
          <w:rFonts w:hint="eastAsia" w:ascii="楷体_GB2312" w:hAnsi="宋体" w:eastAsia="楷体_GB2312" w:cs="楷体_GB2312"/>
          <w:b/>
          <w:color w:val="000000"/>
          <w:kern w:val="0"/>
          <w:sz w:val="32"/>
          <w:szCs w:val="32"/>
          <w:lang w:eastAsia="zh-CN" w:bidi="ar"/>
        </w:rPr>
        <w:t>说明</w:t>
      </w:r>
      <w:r>
        <w:rPr>
          <w:rFonts w:hint="eastAsia" w:ascii="楷体_GB2312" w:hAnsi="宋体" w:eastAsia="楷体_GB2312" w:cs="楷体_GB2312"/>
          <w:b/>
          <w:color w:val="000000"/>
          <w:kern w:val="0"/>
          <w:sz w:val="32"/>
          <w:szCs w:val="32"/>
          <w:lang w:bidi="ar"/>
        </w:rPr>
        <w:t>。</w:t>
      </w:r>
    </w:p>
    <w:p>
      <w:pPr>
        <w:widowControl/>
        <w:ind w:firstLine="640" w:firstLineChars="200"/>
        <w:jc w:val="left"/>
        <w:rPr>
          <w:rFonts w:ascii="仿宋_GB2312" w:hAnsi="宋体" w:eastAsia="仿宋_GB2312" w:cs="仿宋_GB2312"/>
          <w:color w:val="000000"/>
          <w:kern w:val="0"/>
          <w:sz w:val="32"/>
          <w:szCs w:val="32"/>
          <w:lang w:bidi="ar"/>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会议费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5</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减少</w:t>
      </w:r>
      <w:r>
        <w:rPr>
          <w:rFonts w:hint="eastAsia" w:ascii="仿宋_GB2312" w:hAnsi="宋体" w:eastAsia="仿宋_GB2312" w:cs="仿宋_GB2312"/>
          <w:color w:val="000000"/>
          <w:kern w:val="0"/>
          <w:sz w:val="32"/>
          <w:szCs w:val="32"/>
          <w:lang w:val="en-US" w:eastAsia="zh-CN" w:bidi="ar"/>
        </w:rPr>
        <w:t>5</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eastAsia="zh-CN" w:bidi="ar"/>
        </w:rPr>
        <w:t>未组织会议</w:t>
      </w:r>
      <w:r>
        <w:rPr>
          <w:rFonts w:hint="eastAsia" w:ascii="仿宋_GB2312" w:hAnsi="宋体" w:eastAsia="仿宋_GB2312" w:cs="仿宋_GB2312"/>
          <w:color w:val="000000"/>
          <w:kern w:val="0"/>
          <w:sz w:val="32"/>
          <w:szCs w:val="32"/>
          <w:lang w:bidi="ar"/>
        </w:rPr>
        <w:t>。</w:t>
      </w:r>
    </w:p>
    <w:p>
      <w:pPr>
        <w:ind w:firstLine="640" w:firstLineChars="200"/>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八、政府性基金预算财政拨款收入支出情况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本部门无政府性基金决算收支，并已公开空表</w:t>
      </w:r>
      <w:r>
        <w:rPr>
          <w:rFonts w:hint="eastAsia" w:ascii="仿宋_GB2312" w:hAnsi="仿宋_GB2312" w:eastAsia="仿宋_GB2312" w:cs="仿宋_GB2312"/>
          <w:sz w:val="32"/>
          <w:szCs w:val="32"/>
          <w:lang w:eastAsia="zh-CN"/>
        </w:rPr>
        <w:t>。</w:t>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九、国有资本经营财政拨款收</w:t>
      </w:r>
      <w:r>
        <w:rPr>
          <w:rFonts w:hint="eastAsia" w:ascii="黑体" w:hAnsi="黑体" w:eastAsia="黑体"/>
          <w:color w:val="000000"/>
          <w:kern w:val="0"/>
          <w:sz w:val="32"/>
          <w:szCs w:val="32"/>
          <w:lang w:eastAsia="zh-CN" w:bidi="ar"/>
        </w:rPr>
        <w:t>入</w:t>
      </w:r>
      <w:r>
        <w:rPr>
          <w:rFonts w:hint="eastAsia" w:ascii="黑体" w:hAnsi="黑体" w:eastAsia="黑体"/>
          <w:color w:val="000000"/>
          <w:kern w:val="0"/>
          <w:sz w:val="32"/>
          <w:szCs w:val="32"/>
          <w:lang w:bidi="ar"/>
        </w:rPr>
        <w:t>支</w:t>
      </w:r>
      <w:r>
        <w:rPr>
          <w:rFonts w:hint="eastAsia" w:ascii="黑体" w:hAnsi="黑体" w:eastAsia="黑体"/>
          <w:color w:val="000000"/>
          <w:kern w:val="0"/>
          <w:sz w:val="32"/>
          <w:szCs w:val="32"/>
          <w:lang w:eastAsia="zh-CN" w:bidi="ar"/>
        </w:rPr>
        <w:t>出</w:t>
      </w:r>
      <w:r>
        <w:rPr>
          <w:rFonts w:hint="eastAsia" w:ascii="黑体" w:hAnsi="黑体" w:eastAsia="黑体"/>
          <w:color w:val="000000"/>
          <w:kern w:val="0"/>
          <w:sz w:val="32"/>
          <w:szCs w:val="32"/>
          <w:lang w:bidi="ar"/>
        </w:rPr>
        <w:t>情况</w:t>
      </w:r>
      <w:r>
        <w:rPr>
          <w:rFonts w:hint="eastAsia" w:ascii="黑体" w:hAnsi="黑体" w:eastAsia="黑体"/>
          <w:color w:val="000000"/>
          <w:kern w:val="0"/>
          <w:sz w:val="32"/>
          <w:szCs w:val="32"/>
          <w:lang w:eastAsia="zh-CN" w:bidi="ar"/>
        </w:rPr>
        <w:t>说明</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本部门无国有资本经营决算拨款收支</w:t>
      </w:r>
      <w:r>
        <w:rPr>
          <w:rFonts w:hint="eastAsia" w:ascii="仿宋_GB2312" w:hAnsi="仿宋_GB2312" w:eastAsia="仿宋_GB2312" w:cs="仿宋_GB2312"/>
          <w:sz w:val="32"/>
          <w:szCs w:val="32"/>
          <w:lang w:eastAsia="zh-CN"/>
        </w:rPr>
        <w:t>。</w:t>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十、预算绩效情况</w:t>
      </w:r>
      <w:r>
        <w:rPr>
          <w:rFonts w:hint="eastAsia" w:ascii="黑体" w:hAnsi="黑体" w:eastAsia="黑体"/>
          <w:color w:val="000000"/>
          <w:kern w:val="0"/>
          <w:sz w:val="32"/>
          <w:szCs w:val="32"/>
          <w:lang w:eastAsia="zh-CN" w:bidi="ar"/>
        </w:rPr>
        <w:t>说明</w:t>
      </w:r>
    </w:p>
    <w:p>
      <w:pPr>
        <w:widowControl/>
        <w:ind w:left="1281" w:leftChars="304" w:hanging="643" w:hangingChars="200"/>
        <w:jc w:val="left"/>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（一）</w:t>
      </w:r>
      <w:r>
        <w:rPr>
          <w:rFonts w:ascii="楷体_GB2312" w:hAnsi="宋体" w:eastAsia="楷体_GB2312" w:cs="楷体_GB2312"/>
          <w:b/>
          <w:color w:val="000000"/>
          <w:kern w:val="0"/>
          <w:sz w:val="32"/>
          <w:szCs w:val="32"/>
          <w:lang w:bidi="ar"/>
        </w:rPr>
        <w:t>预算绩效管理工作开展情况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w:t>
      </w:r>
      <w:r>
        <w:rPr>
          <w:rFonts w:hint="eastAsia" w:ascii="楷体_GB2312" w:hAnsi="宋体" w:eastAsia="楷体_GB2312" w:cs="楷体_GB2312"/>
          <w:b/>
          <w:color w:val="000000"/>
          <w:kern w:val="0"/>
          <w:sz w:val="32"/>
          <w:szCs w:val="32"/>
          <w:lang w:bidi="ar"/>
        </w:rPr>
        <w:t xml:space="preserve">     </w:t>
      </w:r>
    </w:p>
    <w:p>
      <w:pPr>
        <w:widowControl/>
        <w:ind w:firstLine="640" w:firstLineChars="200"/>
        <w:jc w:val="left"/>
      </w:pPr>
      <w:r>
        <w:rPr>
          <w:rFonts w:hint="eastAsia" w:ascii="仿宋_GB2312" w:hAnsi="仿宋_GB2312" w:eastAsia="仿宋_GB2312" w:cs="仿宋_GB2312"/>
          <w:sz w:val="32"/>
          <w:szCs w:val="32"/>
        </w:rPr>
        <w:t>根据预算绩效管理要求，本部门组织对 2019</w:t>
      </w:r>
      <w:r>
        <w:rPr>
          <w:rFonts w:ascii="仿宋_GB2312" w:hAnsi="仿宋_GB2312" w:eastAsia="仿宋_GB2312" w:cs="仿宋_GB2312"/>
          <w:sz w:val="32"/>
          <w:szCs w:val="32"/>
        </w:rPr>
        <w:t>年一般公共预算项目支出全面开展绩效自评，其中，一级项目</w:t>
      </w:r>
      <w:r>
        <w:rPr>
          <w:rFonts w:hint="eastAsia" w:ascii="仿宋_GB2312" w:hAnsi="仿宋_GB2312" w:eastAsia="仿宋_GB2312" w:cs="仿宋_GB2312"/>
          <w:sz w:val="32"/>
          <w:szCs w:val="32"/>
          <w:lang w:val="en-US" w:eastAsia="zh-CN"/>
        </w:rPr>
        <w:t>1</w:t>
      </w:r>
      <w:r>
        <w:rPr>
          <w:rFonts w:ascii="仿宋_GB2312" w:hAnsi="仿宋_GB2312" w:eastAsia="仿宋_GB2312" w:cs="仿宋_GB2312"/>
          <w:sz w:val="32"/>
          <w:szCs w:val="32"/>
        </w:rPr>
        <w:t>个，二级项目</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个，共涉及资金</w:t>
      </w:r>
      <w:r>
        <w:rPr>
          <w:rFonts w:hint="eastAsia" w:ascii="仿宋_GB2312" w:hAnsi="仿宋_GB2312" w:eastAsia="仿宋_GB2312" w:cs="仿宋_GB2312"/>
          <w:sz w:val="32"/>
          <w:szCs w:val="32"/>
          <w:lang w:val="en-US" w:eastAsia="zh-CN"/>
        </w:rPr>
        <w:t>8.4</w:t>
      </w:r>
      <w:r>
        <w:rPr>
          <w:rFonts w:ascii="仿宋_GB2312" w:hAnsi="仿宋_GB2312" w:eastAsia="仿宋_GB2312" w:cs="仿宋_GB2312"/>
          <w:sz w:val="32"/>
          <w:szCs w:val="32"/>
        </w:rPr>
        <w:t>万元，占一般公共预算项目支出总额的</w:t>
      </w:r>
      <w:r>
        <w:rPr>
          <w:rFonts w:hint="eastAsia" w:ascii="仿宋_GB2312" w:hAnsi="仿宋_GB2312" w:eastAsia="仿宋_GB2312" w:cs="仿宋_GB2312"/>
          <w:sz w:val="32"/>
          <w:szCs w:val="32"/>
          <w:lang w:val="en-US" w:eastAsia="zh-CN"/>
        </w:rPr>
        <w:t>42</w:t>
      </w:r>
      <w:r>
        <w:rPr>
          <w:rFonts w:ascii="仿宋_GB2312" w:hAnsi="仿宋_GB2312" w:eastAsia="仿宋_GB2312" w:cs="仿宋_GB2312"/>
          <w:sz w:val="32"/>
          <w:szCs w:val="32"/>
        </w:rPr>
        <w:t>%。</w:t>
      </w:r>
      <w:r>
        <w:rPr>
          <w:rFonts w:ascii="仿宋_GB2312" w:hAnsi="仿宋_GB2312" w:eastAsia="仿宋_GB2312" w:cs="仿宋_GB2312"/>
          <w:color w:val="000000"/>
          <w:kern w:val="0"/>
          <w:sz w:val="31"/>
          <w:szCs w:val="31"/>
          <w:lang w:bidi="ar"/>
        </w:rPr>
        <w:t>组织对 2019年</w:t>
      </w:r>
      <w:r>
        <w:rPr>
          <w:rFonts w:hint="eastAsia" w:ascii="仿宋_GB2312" w:hAnsi="仿宋_GB2312" w:eastAsia="仿宋_GB2312" w:cs="仿宋_GB2312"/>
          <w:color w:val="000000"/>
          <w:kern w:val="0"/>
          <w:sz w:val="31"/>
          <w:szCs w:val="31"/>
          <w:lang w:val="en-US" w:eastAsia="zh-CN" w:bidi="ar"/>
        </w:rPr>
        <w:t>0</w:t>
      </w:r>
      <w:r>
        <w:rPr>
          <w:rFonts w:ascii="仿宋_GB2312" w:hAnsi="仿宋_GB2312" w:eastAsia="仿宋_GB2312" w:cs="仿宋_GB2312"/>
          <w:color w:val="000000"/>
          <w:kern w:val="0"/>
          <w:sz w:val="31"/>
          <w:szCs w:val="31"/>
          <w:lang w:bidi="ar"/>
        </w:rPr>
        <w:t>个政府性基金预算项目支出开展绩效自评，共涉及资金</w:t>
      </w:r>
      <w:r>
        <w:rPr>
          <w:rFonts w:hint="eastAsia" w:ascii="仿宋_GB2312" w:hAnsi="仿宋_GB2312" w:eastAsia="仿宋_GB2312" w:cs="仿宋_GB2312"/>
          <w:color w:val="000000"/>
          <w:kern w:val="0"/>
          <w:sz w:val="31"/>
          <w:szCs w:val="31"/>
          <w:lang w:val="en-US" w:eastAsia="zh-CN" w:bidi="ar"/>
        </w:rPr>
        <w:t>0</w:t>
      </w:r>
      <w:r>
        <w:rPr>
          <w:rFonts w:ascii="仿宋_GB2312" w:hAnsi="仿宋_GB2312" w:eastAsia="仿宋_GB2312" w:cs="仿宋_GB2312"/>
          <w:color w:val="000000"/>
          <w:kern w:val="0"/>
          <w:sz w:val="31"/>
          <w:szCs w:val="31"/>
          <w:lang w:bidi="ar"/>
        </w:rPr>
        <w:t>万元，占政府性基金预算项目支出总额的</w:t>
      </w:r>
      <w:r>
        <w:rPr>
          <w:rFonts w:hint="eastAsia" w:ascii="仿宋_GB2312" w:hAnsi="仿宋_GB2312" w:eastAsia="仿宋_GB2312" w:cs="仿宋_GB2312"/>
          <w:color w:val="000000"/>
          <w:kern w:val="0"/>
          <w:sz w:val="31"/>
          <w:szCs w:val="31"/>
          <w:lang w:val="en-US" w:eastAsia="zh-CN" w:bidi="ar"/>
        </w:rPr>
        <w:t>0</w:t>
      </w:r>
      <w:r>
        <w:rPr>
          <w:rFonts w:ascii="仿宋_GB2312" w:hAnsi="仿宋_GB2312" w:eastAsia="仿宋_GB2312" w:cs="仿宋_GB2312"/>
          <w:color w:val="000000"/>
          <w:kern w:val="0"/>
          <w:sz w:val="31"/>
          <w:szCs w:val="31"/>
          <w:lang w:bidi="ar"/>
        </w:rPr>
        <w:t>%</w:t>
      </w:r>
    </w:p>
    <w:p>
      <w:pPr>
        <w:widowControl/>
        <w:ind w:firstLine="643" w:firstLineChars="200"/>
        <w:jc w:val="left"/>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w:t>
      </w:r>
      <w:r>
        <w:rPr>
          <w:rFonts w:ascii="楷体_GB2312" w:hAnsi="宋体" w:eastAsia="楷体_GB2312" w:cs="楷体_GB2312"/>
          <w:b/>
          <w:color w:val="000000"/>
          <w:kern w:val="0"/>
          <w:sz w:val="32"/>
          <w:szCs w:val="32"/>
          <w:lang w:bidi="ar"/>
        </w:rPr>
        <w:t>部门决算中项目绩效自评结果。</w:t>
      </w:r>
    </w:p>
    <w:p>
      <w:pPr>
        <w:spacing w:line="540" w:lineRule="exact"/>
        <w:ind w:firstLine="643"/>
        <w:rPr>
          <w:rFonts w:ascii="仿宋_GB2312" w:hAnsi="仿宋_GB2312" w:eastAsia="仿宋_GB2312" w:cs="仿宋_GB2312"/>
          <w:color w:val="000000"/>
          <w:kern w:val="0"/>
          <w:sz w:val="31"/>
          <w:szCs w:val="31"/>
        </w:rPr>
      </w:pPr>
      <w:r>
        <w:rPr>
          <w:rFonts w:hint="eastAsia" w:ascii="仿宋_GB2312" w:hAnsi="仿宋_GB2312" w:eastAsia="仿宋_GB2312" w:cs="仿宋_GB2312"/>
          <w:color w:val="000000"/>
          <w:kern w:val="0"/>
          <w:sz w:val="31"/>
          <w:szCs w:val="31"/>
        </w:rPr>
        <w:t>招商引资工作经费</w:t>
      </w:r>
      <w:r>
        <w:rPr>
          <w:rFonts w:ascii="仿宋_GB2312" w:hAnsi="仿宋_GB2312" w:eastAsia="仿宋_GB2312" w:cs="仿宋_GB2312"/>
          <w:color w:val="000000"/>
          <w:kern w:val="0"/>
          <w:sz w:val="31"/>
          <w:szCs w:val="31"/>
          <w:lang w:bidi="ar"/>
        </w:rPr>
        <w:t>项目绩效自评综述：根据年初设定的绩效目标，项目自评得分</w:t>
      </w:r>
      <w:r>
        <w:rPr>
          <w:rFonts w:hint="eastAsia" w:ascii="仿宋_GB2312" w:hAnsi="仿宋_GB2312" w:eastAsia="仿宋_GB2312" w:cs="仿宋_GB2312"/>
          <w:color w:val="000000"/>
          <w:kern w:val="0"/>
          <w:sz w:val="31"/>
          <w:szCs w:val="31"/>
          <w:lang w:val="en-US" w:eastAsia="zh-CN" w:bidi="ar"/>
        </w:rPr>
        <w:t>93.2</w:t>
      </w:r>
      <w:bookmarkStart w:id="0" w:name="_GoBack"/>
      <w:bookmarkEnd w:id="0"/>
      <w:r>
        <w:rPr>
          <w:rFonts w:ascii="仿宋_GB2312" w:hAnsi="仿宋_GB2312" w:eastAsia="仿宋_GB2312" w:cs="仿宋_GB2312"/>
          <w:color w:val="000000"/>
          <w:kern w:val="0"/>
          <w:sz w:val="31"/>
          <w:szCs w:val="31"/>
          <w:lang w:bidi="ar"/>
        </w:rPr>
        <w:t>分。项目全年预算数</w:t>
      </w:r>
      <w:r>
        <w:rPr>
          <w:rFonts w:hint="eastAsia" w:ascii="仿宋_GB2312" w:hAnsi="仿宋_GB2312" w:eastAsia="仿宋_GB2312" w:cs="仿宋_GB2312"/>
          <w:color w:val="000000"/>
          <w:kern w:val="0"/>
          <w:sz w:val="31"/>
          <w:szCs w:val="31"/>
          <w:lang w:val="en-US" w:eastAsia="zh-CN" w:bidi="ar"/>
        </w:rPr>
        <w:t>20</w:t>
      </w:r>
      <w:r>
        <w:rPr>
          <w:rFonts w:ascii="仿宋_GB2312" w:hAnsi="仿宋_GB2312" w:eastAsia="仿宋_GB2312" w:cs="仿宋_GB2312"/>
          <w:color w:val="000000"/>
          <w:kern w:val="0"/>
          <w:sz w:val="31"/>
          <w:szCs w:val="31"/>
          <w:lang w:bidi="ar"/>
        </w:rPr>
        <w:t>万元，执行数</w:t>
      </w:r>
      <w:r>
        <w:rPr>
          <w:rFonts w:hint="eastAsia" w:ascii="仿宋_GB2312" w:hAnsi="仿宋_GB2312" w:eastAsia="仿宋_GB2312" w:cs="仿宋_GB2312"/>
          <w:color w:val="000000"/>
          <w:kern w:val="0"/>
          <w:sz w:val="31"/>
          <w:szCs w:val="31"/>
          <w:lang w:val="en-US" w:eastAsia="zh-CN" w:bidi="ar"/>
        </w:rPr>
        <w:t>8.4</w:t>
      </w:r>
      <w:r>
        <w:rPr>
          <w:rFonts w:ascii="仿宋_GB2312" w:hAnsi="仿宋_GB2312" w:eastAsia="仿宋_GB2312" w:cs="仿宋_GB2312"/>
          <w:color w:val="000000"/>
          <w:kern w:val="0"/>
          <w:sz w:val="31"/>
          <w:szCs w:val="31"/>
          <w:lang w:bidi="ar"/>
        </w:rPr>
        <w:t>万元，完成预算的</w:t>
      </w:r>
      <w:r>
        <w:rPr>
          <w:rFonts w:hint="eastAsia" w:ascii="仿宋_GB2312" w:hAnsi="仿宋_GB2312" w:eastAsia="仿宋_GB2312" w:cs="仿宋_GB2312"/>
          <w:color w:val="000000"/>
          <w:kern w:val="0"/>
          <w:sz w:val="31"/>
          <w:szCs w:val="31"/>
          <w:lang w:val="en-US" w:eastAsia="zh-CN" w:bidi="ar"/>
        </w:rPr>
        <w:t>42</w:t>
      </w:r>
      <w:r>
        <w:rPr>
          <w:rFonts w:ascii="仿宋_GB2312" w:hAnsi="仿宋_GB2312" w:eastAsia="仿宋_GB2312" w:cs="仿宋_GB2312"/>
          <w:color w:val="000000"/>
          <w:kern w:val="0"/>
          <w:sz w:val="31"/>
          <w:szCs w:val="31"/>
          <w:lang w:bidi="ar"/>
        </w:rPr>
        <w:t>%。主要产出和效果：</w:t>
      </w:r>
      <w:r>
        <w:rPr>
          <w:rFonts w:hint="eastAsia" w:ascii="仿宋_GB2312" w:hAnsi="仿宋_GB2312" w:eastAsia="仿宋_GB2312" w:cs="仿宋_GB2312"/>
          <w:color w:val="000000"/>
          <w:kern w:val="0"/>
          <w:sz w:val="31"/>
          <w:szCs w:val="31"/>
        </w:rPr>
        <w:t>通过项目实施招商引资工作,</w:t>
      </w:r>
      <w:r>
        <w:rPr>
          <w:rFonts w:hint="eastAsia" w:ascii="仿宋_GB2312" w:hAnsi="仿宋_GB2312" w:eastAsia="仿宋_GB2312" w:cs="仿宋_GB2312"/>
          <w:sz w:val="32"/>
          <w:szCs w:val="32"/>
        </w:rPr>
        <w:t>2019年一、二局共洽谈签约项目24个，涉及资金70.48亿元，落地项目17个，涉及金额49.03亿元，其中过10亿元项目4个，过5亿元项目2个，过亿元项目6个；完成实际到位资金申报44.86亿元，完成省际到位资金27亿元；新注册企业15家（外资企业3家），实际利用外资68万美元，完成固定资产投资9.13亿元；开展招商活动409次，其中“走出去”53次、“请进来”356次，涉及企业700多家，举办招商推介活动15次</w:t>
      </w:r>
      <w:r>
        <w:rPr>
          <w:rFonts w:hint="eastAsia" w:ascii="仿宋_GB2312" w:hAnsi="仿宋_GB2312" w:eastAsia="仿宋_GB2312" w:cs="仿宋_GB2312"/>
          <w:color w:val="000000"/>
          <w:kern w:val="0"/>
          <w:sz w:val="31"/>
          <w:szCs w:val="31"/>
        </w:rPr>
        <w:t>。发现的问题及原因：1、项目包装深度不够。招商引资工作与项目策划工作具有很强的关联性，但仍存在项目储备量少，包装深度不够，缺乏必要的前期规划、环保、投入产出论证，潜力优势挖掘不深等问题。2、营商管理服务不够。部分落地项目进展较为缓慢，除企业自身原因外，还存在招商工作人员和各部门沟通对接不顺畅、管理不够完善、服务工作跟进不及时等问题。3、队伍专业水平不高。专业招商工作人员整体业务水平不高，对区内招商引资相关优惠政策了解不够深入；专业招商、以商招商、中介招商和委托招商等新型招商方式运用不够，招商引资的市场化机制弱化，不能适应新常态下招商要求。下一步改进措施：1、推进重点任务。围绕“上合基地”和农业农村现代化建设做好配套项目招引，推进重点项目尤其是已决策项目顺利落地，工业企业入驻数量显著增多，策划一批产业链项目，特色产业链初步形成。2、聚焦重点领域。围绕楼宇经济、展会经济、民宿经济等重点领域加大项目招引力度，吸引现代服务企业、都市型工业、高科技成果转化企业和各类总部企业入驻发展，培育优质税源。3、规范招商工作。健全招商流程，明确招商政策，建立阶梯政策体系，招商方式多元化，建立成熟招商服务机制。4、加强队伍建设。专业招商队伍得到壮大，招商人员工作积极性大幅度提高，招商业务能力全面提升。</w:t>
      </w:r>
    </w:p>
    <w:p>
      <w:pPr>
        <w:widowControl/>
        <w:ind w:firstLine="420" w:firstLineChars="200"/>
        <w:jc w:val="left"/>
      </w:pPr>
    </w:p>
    <w:p>
      <w:pPr>
        <w:widowControl/>
        <w:jc w:val="left"/>
        <w:rPr>
          <w:rFonts w:ascii="仿宋_GB2312" w:hAnsi="仿宋_GB2312" w:eastAsia="仿宋_GB2312" w:cs="仿宋_GB2312"/>
          <w:color w:val="000000"/>
          <w:kern w:val="0"/>
          <w:sz w:val="31"/>
          <w:szCs w:val="31"/>
          <w:lang w:bidi="ar"/>
        </w:rPr>
      </w:pPr>
    </w:p>
    <w:p>
      <w:pPr>
        <w:rPr>
          <w:rFonts w:ascii="楷体" w:hAnsi="楷体" w:eastAsia="楷体" w:cs="楷体"/>
          <w:sz w:val="32"/>
          <w:szCs w:val="32"/>
        </w:rPr>
      </w:pPr>
    </w:p>
    <w:p>
      <w:pPr>
        <w:rPr>
          <w:rFonts w:ascii="楷体" w:hAnsi="楷体" w:eastAsia="楷体" w:cs="楷体"/>
          <w:sz w:val="32"/>
          <w:szCs w:val="32"/>
        </w:rPr>
      </w:pPr>
    </w:p>
    <w:p>
      <w:pPr>
        <w:rPr>
          <w:rFonts w:ascii="楷体" w:hAnsi="楷体" w:eastAsia="楷体" w:cs="楷体"/>
          <w:sz w:val="32"/>
          <w:szCs w:val="32"/>
        </w:rPr>
      </w:pPr>
    </w:p>
    <w:p>
      <w:pPr>
        <w:rPr>
          <w:rFonts w:ascii="楷体" w:hAnsi="楷体" w:eastAsia="楷体" w:cs="楷体"/>
          <w:sz w:val="32"/>
          <w:szCs w:val="32"/>
        </w:rPr>
      </w:pPr>
    </w:p>
    <w:p>
      <w:pPr>
        <w:rPr>
          <w:rFonts w:ascii="楷体" w:hAnsi="楷体" w:eastAsia="楷体" w:cs="楷体"/>
          <w:sz w:val="32"/>
          <w:szCs w:val="32"/>
        </w:rPr>
      </w:pPr>
    </w:p>
    <w:p>
      <w:pPr>
        <w:rPr>
          <w:rFonts w:ascii="楷体" w:hAnsi="楷体" w:eastAsia="楷体" w:cs="楷体"/>
          <w:sz w:val="32"/>
          <w:szCs w:val="32"/>
        </w:rPr>
      </w:pPr>
    </w:p>
    <w:p>
      <w:pPr>
        <w:rPr>
          <w:rFonts w:ascii="楷体" w:hAnsi="楷体" w:eastAsia="楷体" w:cs="楷体"/>
          <w:sz w:val="32"/>
          <w:szCs w:val="32"/>
        </w:rPr>
      </w:pPr>
    </w:p>
    <w:p>
      <w:pPr>
        <w:rPr>
          <w:rFonts w:ascii="楷体" w:hAnsi="楷体" w:eastAsia="楷体" w:cs="楷体"/>
          <w:sz w:val="32"/>
          <w:szCs w:val="32"/>
        </w:rPr>
      </w:pPr>
    </w:p>
    <w:p>
      <w:pPr>
        <w:rPr>
          <w:rFonts w:ascii="楷体" w:hAnsi="楷体" w:eastAsia="楷体" w:cs="楷体"/>
          <w:sz w:val="32"/>
          <w:szCs w:val="32"/>
        </w:rPr>
      </w:pPr>
    </w:p>
    <w:p>
      <w:pPr>
        <w:widowControl/>
        <w:jc w:val="left"/>
        <w:rPr>
          <w:rFonts w:ascii="楷体" w:hAnsi="楷体" w:eastAsia="楷体" w:cs="楷体"/>
          <w:sz w:val="32"/>
          <w:szCs w:val="32"/>
        </w:rPr>
        <w:sectPr>
          <w:footerReference r:id="rId3" w:type="default"/>
          <w:pgSz w:w="11906" w:h="16838"/>
          <w:pgMar w:top="1985" w:right="1588" w:bottom="2098" w:left="1474" w:header="851" w:footer="992" w:gutter="0"/>
          <w:cols w:space="0" w:num="1"/>
          <w:docGrid w:type="lines" w:linePitch="315" w:charSpace="0"/>
        </w:sectPr>
      </w:pPr>
      <w:r>
        <w:rPr>
          <w:rFonts w:hint="eastAsia" w:ascii="楷体" w:hAnsi="楷体" w:eastAsia="楷体" w:cs="楷体"/>
          <w:sz w:val="32"/>
          <w:szCs w:val="32"/>
        </w:rPr>
        <w:object>
          <v:shape id="_x0000_i1029" o:spt="75" alt="" type="#_x0000_t75" style="height:629.35pt;width:462.65pt;" o:ole="t" filled="f" o:preferrelative="t" stroked="f" coordsize="21600,21600">
            <v:path/>
            <v:fill on="f" focussize="0,0"/>
            <v:stroke on="f"/>
            <v:imagedata r:id="rId15" o:title=""/>
            <o:lock v:ext="edit" aspectratio="t"/>
            <w10:wrap type="none"/>
            <w10:anchorlock/>
          </v:shape>
          <o:OLEObject Type="Embed" ProgID="Excel.Sheet.8" ShapeID="_x0000_i1029" DrawAspect="Content" ObjectID="_1468075725" r:id="rId14">
            <o:LockedField>false</o:LockedField>
          </o:OLEObject>
        </w:object>
      </w:r>
    </w:p>
    <w:p>
      <w:pPr>
        <w:widowControl/>
        <w:jc w:val="left"/>
        <w:rPr>
          <w:rFonts w:ascii="楷体" w:hAnsi="楷体" w:eastAsia="楷体" w:cs="楷体"/>
          <w:sz w:val="32"/>
          <w:szCs w:val="32"/>
        </w:rPr>
      </w:pPr>
      <w:r>
        <w:rPr>
          <w:rFonts w:hint="eastAsia" w:ascii="楷体" w:hAnsi="楷体" w:eastAsia="楷体" w:cs="楷体"/>
          <w:sz w:val="32"/>
          <w:szCs w:val="32"/>
        </w:rPr>
        <w:object>
          <v:shape id="_x0000_i1026" o:spt="75" alt="" type="#_x0000_t75" style="height:1278.8pt;width:632.1pt;" o:ole="t" filled="f" o:preferrelative="t" stroked="f" coordsize="21600,21600">
            <v:path/>
            <v:fill on="f" focussize="0,0"/>
            <v:stroke on="f"/>
            <v:imagedata r:id="rId17" o:title=""/>
            <o:lock v:ext="edit" aspectratio="t"/>
            <w10:wrap type="none"/>
            <w10:anchorlock/>
          </v:shape>
          <o:OLEObject Type="Embed" ProgID="Excel.Sheet.8" ShapeID="_x0000_i1026" DrawAspect="Content" ObjectID="_1468075726" r:id="rId16">
            <o:LockedField>false</o:LockedField>
          </o:OLEObject>
        </w:object>
      </w:r>
    </w:p>
    <w:p>
      <w:pPr>
        <w:rPr>
          <w:rFonts w:ascii="楷体" w:hAnsi="楷体" w:eastAsia="楷体" w:cs="楷体"/>
          <w:sz w:val="32"/>
          <w:szCs w:val="32"/>
        </w:rPr>
      </w:pPr>
    </w:p>
    <w:p>
      <w:pPr>
        <w:rPr>
          <w:rFonts w:ascii="楷体" w:hAnsi="楷体" w:eastAsia="楷体" w:cs="楷体"/>
          <w:sz w:val="32"/>
          <w:szCs w:val="32"/>
        </w:rPr>
      </w:pPr>
      <w:r>
        <w:rPr>
          <w:rFonts w:hint="eastAsia" w:ascii="楷体" w:hAnsi="楷体" w:eastAsia="楷体" w:cs="楷体"/>
          <w:sz w:val="32"/>
          <w:szCs w:val="32"/>
        </w:rPr>
        <w:object>
          <v:shape id="_x0000_i1027" o:spt="75" alt="" type="#_x0000_t75" style="height:387.75pt;width:648pt;" o:ole="t" filled="f" o:preferrelative="t" stroked="f" coordsize="21600,21600">
            <v:path/>
            <v:fill on="f" focussize="0,0"/>
            <v:stroke on="f"/>
            <v:imagedata r:id="rId19" o:title=""/>
            <o:lock v:ext="edit" aspectratio="t"/>
            <w10:wrap type="none"/>
            <w10:anchorlock/>
          </v:shape>
          <o:OLEObject Type="Embed" ProgID="Excel.Sheet.8" ShapeID="_x0000_i1027" DrawAspect="Content" ObjectID="_1468075727" r:id="rId18">
            <o:LockedField>false</o:LockedField>
          </o:OLEObject>
        </w:object>
      </w:r>
    </w:p>
    <w:p>
      <w:pPr>
        <w:widowControl/>
        <w:jc w:val="left"/>
        <w:rPr>
          <w:rFonts w:ascii="楷体" w:hAnsi="楷体" w:eastAsia="楷体" w:cs="楷体"/>
          <w:sz w:val="32"/>
          <w:szCs w:val="32"/>
        </w:rPr>
        <w:sectPr>
          <w:pgSz w:w="16838" w:h="11906" w:orient="landscape"/>
          <w:pgMar w:top="1588" w:right="2098" w:bottom="1474" w:left="1985" w:header="851" w:footer="992" w:gutter="0"/>
          <w:cols w:space="0" w:num="1"/>
          <w:docGrid w:type="lines" w:linePitch="315" w:charSpace="0"/>
        </w:sectPr>
      </w:pPr>
      <w:r>
        <w:rPr>
          <w:rFonts w:hint="eastAsia" w:ascii="楷体" w:hAnsi="楷体" w:eastAsia="楷体" w:cs="楷体"/>
          <w:sz w:val="32"/>
          <w:szCs w:val="32"/>
        </w:rPr>
        <w:object>
          <v:shape id="_x0000_i1028" o:spt="75" alt="" type="#_x0000_t75" style="height:339pt;width:645.65pt;" o:ole="t" filled="f" o:preferrelative="t" stroked="f" coordsize="21600,21600">
            <v:path/>
            <v:fill on="f" focussize="0,0"/>
            <v:stroke on="f"/>
            <v:imagedata r:id="rId21" o:title=""/>
            <o:lock v:ext="edit" aspectratio="t"/>
            <w10:wrap type="none"/>
            <w10:anchorlock/>
          </v:shape>
          <o:OLEObject Type="Embed" ProgID="Excel.Sheet.8" ShapeID="_x0000_i1028" DrawAspect="Content" ObjectID="_1468075728" r:id="rId20">
            <o:LockedField>false</o:LockedField>
          </o:OLEObject>
        </w:object>
      </w:r>
    </w:p>
    <w:p>
      <w:pPr>
        <w:ind w:firstLine="640" w:firstLineChars="200"/>
        <w:rPr>
          <w:rFonts w:hint="eastAsia" w:ascii="黑体" w:hAnsi="黑体" w:eastAsia="黑体"/>
          <w:sz w:val="32"/>
          <w:szCs w:val="32"/>
          <w:lang w:eastAsia="zh-CN"/>
        </w:rPr>
      </w:pPr>
      <w:r>
        <w:rPr>
          <w:rFonts w:hint="eastAsia" w:ascii="黑体" w:hAnsi="黑体" w:eastAsia="黑体"/>
          <w:color w:val="000000"/>
          <w:kern w:val="0"/>
          <w:sz w:val="32"/>
          <w:szCs w:val="32"/>
          <w:lang w:bidi="ar"/>
        </w:rPr>
        <w:t>十一、其他重要事项</w:t>
      </w:r>
      <w:r>
        <w:rPr>
          <w:rFonts w:hint="eastAsia" w:ascii="黑体" w:hAnsi="黑体" w:eastAsia="黑体"/>
          <w:color w:val="000000"/>
          <w:kern w:val="0"/>
          <w:sz w:val="32"/>
          <w:szCs w:val="32"/>
          <w:lang w:eastAsia="zh-CN" w:bidi="ar"/>
        </w:rPr>
        <w:t>说明</w:t>
      </w:r>
    </w:p>
    <w:p>
      <w:pPr>
        <w:widowControl/>
        <w:ind w:firstLine="643" w:firstLineChars="200"/>
        <w:jc w:val="left"/>
      </w:pPr>
      <w:r>
        <w:rPr>
          <w:rFonts w:ascii="楷体_GB2312" w:hAnsi="宋体" w:eastAsia="楷体_GB2312" w:cs="楷体_GB2312"/>
          <w:b/>
          <w:color w:val="000000"/>
          <w:kern w:val="0"/>
          <w:sz w:val="32"/>
          <w:szCs w:val="32"/>
          <w:lang w:bidi="ar"/>
        </w:rPr>
        <w:t>（一）机关运行经费支出情况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 xml:space="preserve">。 </w:t>
      </w:r>
    </w:p>
    <w:p>
      <w:pPr>
        <w:widowControl/>
        <w:ind w:firstLine="620" w:firstLineChars="200"/>
        <w:jc w:val="left"/>
        <w:rPr>
          <w:rFonts w:ascii="仿宋_GB2312" w:hAnsi="宋体" w:eastAsia="仿宋_GB2312" w:cs="仿宋_GB2312"/>
          <w:color w:val="000000"/>
          <w:kern w:val="0"/>
          <w:sz w:val="32"/>
          <w:szCs w:val="32"/>
          <w:lang w:bidi="ar"/>
        </w:rPr>
      </w:pPr>
      <w:r>
        <w:rPr>
          <w:rFonts w:ascii="仿宋_GB2312" w:hAnsi="仿宋_GB2312" w:eastAsia="仿宋_GB2312" w:cs="仿宋_GB2312"/>
          <w:color w:val="000000"/>
          <w:kern w:val="0"/>
          <w:sz w:val="31"/>
          <w:szCs w:val="31"/>
          <w:lang w:bidi="ar"/>
        </w:rPr>
        <w:t>2019年机关运行经费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5.2</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13.26</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255</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增加</w:t>
      </w:r>
      <w:r>
        <w:rPr>
          <w:rFonts w:hint="eastAsia" w:ascii="仿宋_GB2312" w:hAnsi="宋体" w:eastAsia="仿宋_GB2312" w:cs="仿宋_GB2312"/>
          <w:color w:val="000000"/>
          <w:kern w:val="0"/>
          <w:sz w:val="32"/>
          <w:szCs w:val="32"/>
          <w:lang w:val="en-US" w:eastAsia="zh-CN" w:bidi="ar"/>
        </w:rPr>
        <w:t>8.06</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rPr>
        <w:t>增加车补及通讯费补助。</w:t>
      </w:r>
    </w:p>
    <w:p>
      <w:pPr>
        <w:widowControl/>
        <w:ind w:firstLine="643" w:firstLineChars="200"/>
        <w:jc w:val="left"/>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（二）政府采购支出情况</w:t>
      </w:r>
      <w:r>
        <w:rPr>
          <w:rFonts w:hint="eastAsia" w:ascii="楷体_GB2312" w:hAnsi="宋体" w:eastAsia="楷体_GB2312" w:cs="楷体_GB2312"/>
          <w:b/>
          <w:color w:val="000000"/>
          <w:kern w:val="0"/>
          <w:sz w:val="32"/>
          <w:szCs w:val="32"/>
          <w:lang w:eastAsia="zh-CN" w:bidi="ar"/>
        </w:rPr>
        <w:t>说明</w:t>
      </w:r>
      <w:r>
        <w:rPr>
          <w:rFonts w:hint="eastAsia" w:ascii="楷体_GB2312" w:hAnsi="宋体" w:eastAsia="楷体_GB2312" w:cs="楷体_GB2312"/>
          <w:b/>
          <w:color w:val="000000"/>
          <w:kern w:val="0"/>
          <w:sz w:val="32"/>
          <w:szCs w:val="32"/>
          <w:lang w:bidi="ar"/>
        </w:rPr>
        <w:t>。</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本部门201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年无政府采购支出</w:t>
      </w:r>
    </w:p>
    <w:p>
      <w:pPr>
        <w:widowControl/>
        <w:ind w:firstLine="643" w:firstLineChars="200"/>
        <w:jc w:val="left"/>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（三）国有资产占用及购置情况</w:t>
      </w:r>
      <w:r>
        <w:rPr>
          <w:rFonts w:hint="eastAsia" w:ascii="楷体_GB2312" w:hAnsi="宋体" w:eastAsia="楷体_GB2312" w:cs="楷体_GB2312"/>
          <w:b/>
          <w:color w:val="000000"/>
          <w:kern w:val="0"/>
          <w:sz w:val="32"/>
          <w:szCs w:val="32"/>
          <w:lang w:eastAsia="zh-CN" w:bidi="ar"/>
        </w:rPr>
        <w:t>说明</w:t>
      </w:r>
      <w:r>
        <w:rPr>
          <w:rFonts w:hint="eastAsia" w:ascii="楷体_GB2312" w:hAnsi="宋体" w:eastAsia="楷体_GB2312" w:cs="楷体_GB2312"/>
          <w:b/>
          <w:color w:val="000000"/>
          <w:kern w:val="0"/>
          <w:sz w:val="32"/>
          <w:szCs w:val="32"/>
          <w:lang w:bidi="ar"/>
        </w:rPr>
        <w:t>。</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截至2019年末，本部门机关及所属单位共有车辆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辆；单价50万元以上的通用设备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台（套）；单价100万元以上的专用设备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台（套）。201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年当年购置车辆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辆；购置单价50万元以上的通用设备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台（套）；购置单价100万元以上的专用设备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p>
    <w:p>
      <w:pPr>
        <w:widowControl/>
        <w:jc w:val="left"/>
        <w:rPr>
          <w:rFonts w:ascii="黑体" w:hAnsi="宋体" w:eastAsia="黑体"/>
          <w:color w:val="000000"/>
          <w:kern w:val="0"/>
          <w:sz w:val="32"/>
          <w:szCs w:val="32"/>
          <w:lang w:bidi="ar"/>
        </w:rPr>
      </w:pPr>
    </w:p>
    <w:p>
      <w:pPr>
        <w:widowControl/>
        <w:jc w:val="left"/>
        <w:rPr>
          <w:rFonts w:ascii="黑体" w:hAnsi="宋体" w:eastAsia="黑体"/>
          <w:color w:val="000000"/>
          <w:kern w:val="0"/>
          <w:sz w:val="32"/>
          <w:szCs w:val="32"/>
          <w:lang w:bidi="ar"/>
        </w:rPr>
      </w:pPr>
    </w:p>
    <w:p>
      <w:pPr>
        <w:jc w:val="center"/>
        <w:rPr>
          <w:sz w:val="44"/>
          <w:szCs w:val="44"/>
        </w:rPr>
      </w:pPr>
      <w:r>
        <w:rPr>
          <w:rFonts w:hint="eastAsia" w:ascii="黑体" w:hAnsi="宋体" w:eastAsia="黑体"/>
          <w:color w:val="000000"/>
          <w:kern w:val="0"/>
          <w:sz w:val="44"/>
          <w:szCs w:val="44"/>
          <w:lang w:bidi="ar"/>
        </w:rPr>
        <w:t>第四部分 专业名词解释</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1.基本支出</w:t>
      </w:r>
      <w:r>
        <w:rPr>
          <w:rFonts w:hint="eastAsia" w:ascii="仿宋_GB2312" w:hAnsi="仿宋_GB2312" w:eastAsia="仿宋_GB2312" w:cs="仿宋_GB2312"/>
          <w:sz w:val="32"/>
          <w:szCs w:val="32"/>
        </w:rPr>
        <w:t>：指为保障机构正常运转、完成日常工作任务而发生的各项支出。</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2.项目支出</w:t>
      </w:r>
      <w:r>
        <w:rPr>
          <w:rFonts w:hint="eastAsia" w:ascii="仿宋_GB2312" w:hAnsi="仿宋_GB2312" w:eastAsia="仿宋_GB2312" w:cs="仿宋_GB2312"/>
          <w:sz w:val="32"/>
          <w:szCs w:val="32"/>
        </w:rPr>
        <w:t>：指单位为完成特定的行政工作任务或事业发展目标所发生的各项支出。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3.“三公”经费</w:t>
      </w:r>
      <w:r>
        <w:rPr>
          <w:rFonts w:hint="eastAsia" w:ascii="仿宋_GB2312" w:hAnsi="仿宋_GB2312" w:eastAsia="仿宋_GB2312" w:cs="仿宋_GB2312"/>
          <w:sz w:val="32"/>
          <w:szCs w:val="32"/>
        </w:rPr>
        <w:t>：指部门使用一般公共预算财政拨款安排的因公出国（境）费、公务用车购置及运行费和公务接待费支出。</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4.财政拨款收入</w:t>
      </w:r>
      <w:r>
        <w:rPr>
          <w:rFonts w:hint="eastAsia" w:ascii="仿宋_GB2312" w:hAnsi="仿宋_GB2312" w:eastAsia="仿宋_GB2312" w:cs="仿宋_GB2312"/>
          <w:sz w:val="32"/>
          <w:szCs w:val="32"/>
        </w:rPr>
        <w:t>：指本级财政当年拨付的资金。</w:t>
      </w:r>
    </w:p>
    <w:p>
      <w:pPr>
        <w:rPr>
          <w:rFonts w:ascii="黑体" w:hAnsi="宋体" w:eastAsia="黑体"/>
          <w:color w:val="000000"/>
          <w:kern w:val="0"/>
          <w:sz w:val="44"/>
          <w:szCs w:val="44"/>
          <w:lang w:bidi="ar"/>
        </w:rPr>
      </w:pPr>
    </w:p>
    <w:p>
      <w:pPr>
        <w:jc w:val="center"/>
        <w:rPr>
          <w:rFonts w:ascii="黑体" w:hAnsi="宋体" w:eastAsia="黑体"/>
          <w:color w:val="000000"/>
          <w:kern w:val="0"/>
          <w:sz w:val="44"/>
          <w:szCs w:val="44"/>
          <w:lang w:bidi="ar"/>
        </w:rPr>
      </w:pPr>
    </w:p>
    <w:p>
      <w:pPr>
        <w:jc w:val="center"/>
        <w:rPr>
          <w:rFonts w:ascii="黑体" w:hAnsi="宋体" w:eastAsia="黑体"/>
          <w:color w:val="000000"/>
          <w:kern w:val="0"/>
          <w:sz w:val="44"/>
          <w:szCs w:val="44"/>
          <w:lang w:bidi="ar"/>
        </w:rPr>
      </w:pPr>
    </w:p>
    <w:p>
      <w:pPr>
        <w:rPr>
          <w:rFonts w:ascii="黑体" w:hAnsi="宋体" w:eastAsia="黑体"/>
          <w:color w:val="000000"/>
          <w:kern w:val="0"/>
          <w:sz w:val="44"/>
          <w:szCs w:val="44"/>
          <w:lang w:bidi="ar"/>
        </w:rPr>
      </w:pPr>
    </w:p>
    <w:sectPr>
      <w:pgSz w:w="11906" w:h="16838"/>
      <w:pgMar w:top="2098" w:right="1474" w:bottom="1984" w:left="158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C79C73"/>
    <w:multiLevelType w:val="singleLevel"/>
    <w:tmpl w:val="D1C79C7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05"/>
  <w:drawingGridVerticalSpacing w:val="31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1AA6038"/>
    <w:rsid w:val="00050E89"/>
    <w:rsid w:val="00146787"/>
    <w:rsid w:val="00164001"/>
    <w:rsid w:val="001D7568"/>
    <w:rsid w:val="002424C8"/>
    <w:rsid w:val="002A7893"/>
    <w:rsid w:val="003364E9"/>
    <w:rsid w:val="00452E2E"/>
    <w:rsid w:val="004B6D6E"/>
    <w:rsid w:val="00813F4A"/>
    <w:rsid w:val="00B80654"/>
    <w:rsid w:val="00E8111E"/>
    <w:rsid w:val="013B79AC"/>
    <w:rsid w:val="014A2E93"/>
    <w:rsid w:val="029F4740"/>
    <w:rsid w:val="05E30EA4"/>
    <w:rsid w:val="0C6002D6"/>
    <w:rsid w:val="0DE81279"/>
    <w:rsid w:val="0E7F388A"/>
    <w:rsid w:val="125E2600"/>
    <w:rsid w:val="132E46A0"/>
    <w:rsid w:val="14411117"/>
    <w:rsid w:val="1586116E"/>
    <w:rsid w:val="18BB4AD7"/>
    <w:rsid w:val="1B4A3FDA"/>
    <w:rsid w:val="1B524C98"/>
    <w:rsid w:val="1BFB5D82"/>
    <w:rsid w:val="1C5E2F73"/>
    <w:rsid w:val="1D6E0C0D"/>
    <w:rsid w:val="20A91C82"/>
    <w:rsid w:val="21B248FA"/>
    <w:rsid w:val="21D11B31"/>
    <w:rsid w:val="221C15BB"/>
    <w:rsid w:val="23E46565"/>
    <w:rsid w:val="2655081B"/>
    <w:rsid w:val="274A5F9A"/>
    <w:rsid w:val="29785A6B"/>
    <w:rsid w:val="2C3F7DC8"/>
    <w:rsid w:val="2D1F3974"/>
    <w:rsid w:val="2DB52EF2"/>
    <w:rsid w:val="30307D75"/>
    <w:rsid w:val="31AA6038"/>
    <w:rsid w:val="33887EE3"/>
    <w:rsid w:val="345F5F68"/>
    <w:rsid w:val="34677C61"/>
    <w:rsid w:val="3B121AD1"/>
    <w:rsid w:val="3CFD0D2E"/>
    <w:rsid w:val="3CFF6EDC"/>
    <w:rsid w:val="41603979"/>
    <w:rsid w:val="41CF436B"/>
    <w:rsid w:val="41E770C6"/>
    <w:rsid w:val="4619368A"/>
    <w:rsid w:val="471F2499"/>
    <w:rsid w:val="4CCF5AC4"/>
    <w:rsid w:val="4D6E0FDF"/>
    <w:rsid w:val="4EE4307A"/>
    <w:rsid w:val="5153143F"/>
    <w:rsid w:val="527B22C2"/>
    <w:rsid w:val="541A2510"/>
    <w:rsid w:val="54F12DEE"/>
    <w:rsid w:val="5B8D564A"/>
    <w:rsid w:val="61672DA7"/>
    <w:rsid w:val="65074FBA"/>
    <w:rsid w:val="69512523"/>
    <w:rsid w:val="6C292AC6"/>
    <w:rsid w:val="6CE931E2"/>
    <w:rsid w:val="71086DB5"/>
    <w:rsid w:val="71774F32"/>
    <w:rsid w:val="7586453C"/>
    <w:rsid w:val="75C31473"/>
    <w:rsid w:val="763E70D6"/>
    <w:rsid w:val="784013D2"/>
    <w:rsid w:val="79EF4AC1"/>
    <w:rsid w:val="7BC74330"/>
    <w:rsid w:val="7BE33626"/>
    <w:rsid w:val="7C3E5E46"/>
    <w:rsid w:val="7C5B5A63"/>
    <w:rsid w:val="7EE75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annotation subject"/>
    <w:basedOn w:val="2"/>
    <w:next w:val="2"/>
    <w:link w:val="12"/>
    <w:qFormat/>
    <w:uiPriority w:val="0"/>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qFormat/>
    <w:uiPriority w:val="0"/>
    <w:rPr>
      <w:sz w:val="21"/>
      <w:szCs w:val="21"/>
    </w:rPr>
  </w:style>
  <w:style w:type="character" w:customStyle="1" w:styleId="11">
    <w:name w:val="批注文字 字符"/>
    <w:basedOn w:val="9"/>
    <w:link w:val="2"/>
    <w:qFormat/>
    <w:uiPriority w:val="0"/>
    <w:rPr>
      <w:rFonts w:ascii="Calibri" w:hAnsi="Calibri" w:cs="黑体"/>
      <w:kern w:val="2"/>
      <w:sz w:val="21"/>
      <w:szCs w:val="24"/>
    </w:rPr>
  </w:style>
  <w:style w:type="character" w:customStyle="1" w:styleId="12">
    <w:name w:val="批注主题 字符"/>
    <w:basedOn w:val="11"/>
    <w:link w:val="6"/>
    <w:qFormat/>
    <w:uiPriority w:val="0"/>
    <w:rPr>
      <w:rFonts w:ascii="Calibri" w:hAnsi="Calibri" w:cs="黑体"/>
      <w:b/>
      <w:bCs/>
      <w:kern w:val="2"/>
      <w:sz w:val="21"/>
      <w:szCs w:val="24"/>
    </w:rPr>
  </w:style>
  <w:style w:type="character" w:customStyle="1" w:styleId="13">
    <w:name w:val="批注框文本 字符"/>
    <w:basedOn w:val="9"/>
    <w:link w:val="3"/>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4.emf"/><Relationship Id="rId20" Type="http://schemas.openxmlformats.org/officeDocument/2006/relationships/oleObject" Target="embeddings/oleObject4.bin"/><Relationship Id="rId2" Type="http://schemas.openxmlformats.org/officeDocument/2006/relationships/settings" Target="settings.xml"/><Relationship Id="rId19" Type="http://schemas.openxmlformats.org/officeDocument/2006/relationships/image" Target="media/image3.emf"/><Relationship Id="rId18" Type="http://schemas.openxmlformats.org/officeDocument/2006/relationships/oleObject" Target="embeddings/oleObject3.bin"/><Relationship Id="rId17" Type="http://schemas.openxmlformats.org/officeDocument/2006/relationships/image" Target="media/image2.emf"/><Relationship Id="rId16" Type="http://schemas.openxmlformats.org/officeDocument/2006/relationships/oleObject" Target="embeddings/oleObject2.bin"/><Relationship Id="rId15" Type="http://schemas.openxmlformats.org/officeDocument/2006/relationships/image" Target="media/image1.emf"/><Relationship Id="rId14" Type="http://schemas.openxmlformats.org/officeDocument/2006/relationships/oleObject" Target="embeddings/oleObject1.bin"/><Relationship Id="rId13" Type="http://schemas.openxmlformats.org/officeDocument/2006/relationships/chart" Target="charts/chart9.xml"/><Relationship Id="rId12" Type="http://schemas.openxmlformats.org/officeDocument/2006/relationships/chart" Target="charts/chart8.xml"/><Relationship Id="rId11" Type="http://schemas.openxmlformats.org/officeDocument/2006/relationships/chart" Target="charts/chart7.xml"/><Relationship Id="rId10" Type="http://schemas.openxmlformats.org/officeDocument/2006/relationships/chart" Target="charts/chart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F:\1.&#36130;&#21153;\6.&#20915;&#31639;\2019&#24180;&#20915;&#31639;\2019&#24180;&#20915;&#31639;&#25968;&#25454;.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F:\1.&#36130;&#21153;\6.&#20915;&#31639;\2019&#24180;&#20915;&#31639;\2019&#24180;&#20915;&#31639;&#25968;&#25454;.xls"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istrator\Desktop\&#22871;&#21360;&#25143;&#21517;&#36134;&#21495;&#20859;&#32769;.xls"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F:\1.&#36130;&#21153;\6.&#20915;&#31639;\2019&#24180;&#20915;&#31639;\2019&#24180;&#20915;&#31639;&#25968;&#25454;.xls"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F:\1.&#36130;&#21153;\6.&#20915;&#31639;\2019&#24180;&#20915;&#31639;\2019&#24180;&#20915;&#31639;&#25968;&#25454;.xls"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Administrator\Desktop\&#22871;&#21360;&#25143;&#21517;&#36134;&#21495;&#20859;&#32769;.xls"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F:\1.&#36130;&#21153;\6.&#20915;&#31639;\2019&#24180;&#20915;&#31639;\2019&#24180;&#20915;&#31639;&#25968;&#25454;.xls" TargetMode="External"/></Relationships>
</file>

<file path=word/charts/_rels/chart8.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oleObject" Target="file:///C:\Users\Administrator\Desktop\&#22871;&#21360;&#25143;&#21517;&#36134;&#21495;&#20859;&#32769;.xls" TargetMode="External"/></Relationships>
</file>

<file path=word/charts/_rels/chart9.xml.rels><?xml version="1.0" encoding="UTF-8" standalone="yes"?>
<Relationships xmlns="http://schemas.openxmlformats.org/package/2006/relationships"><Relationship Id="rId3" Type="http://schemas.microsoft.com/office/2011/relationships/chartColorStyle" Target="colors9.xml"/><Relationship Id="rId2" Type="http://schemas.microsoft.com/office/2011/relationships/chartStyle" Target="style9.xml"/><Relationship Id="rId1" Type="http://schemas.openxmlformats.org/officeDocument/2006/relationships/oleObject" Target="file:///C:\Users\Administrator\Desktop\&#22871;&#21360;&#25143;&#21517;&#36134;&#21495;&#20859;&#32769;.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人员编制结构分析图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'[2019年决算数据.xls]Z03 收入决算表(财决03表)'!$F$30:$G$30</c:f>
              <c:strCache>
                <c:ptCount val="2"/>
                <c:pt idx="0">
                  <c:v>行政单位人员</c:v>
                </c:pt>
                <c:pt idx="1">
                  <c:v>事业单位人员</c:v>
                </c:pt>
              </c:strCache>
            </c:strRef>
          </c:cat>
          <c:val>
            <c:numRef>
              <c:f>'[2019年决算数据.xls]Z03 收入决算表(财决03表)'!$F$31:$G$31</c:f>
              <c:numCache>
                <c:formatCode>General</c:formatCode>
                <c:ptCount val="2"/>
                <c:pt idx="0">
                  <c:v>0</c:v>
                </c:pt>
                <c:pt idx="1">
                  <c:v>13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在职人员情况</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'[2019年决算数据.xls]Z03 收入决算表(财决03表)'!$F$30:$G$30</c:f>
              <c:strCache>
                <c:ptCount val="2"/>
                <c:pt idx="0">
                  <c:v>行政单位人员</c:v>
                </c:pt>
                <c:pt idx="1">
                  <c:v>事业单位人员</c:v>
                </c:pt>
              </c:strCache>
            </c:strRef>
          </c:cat>
          <c:val>
            <c:numRef>
              <c:f>'[2019年决算数据.xls]Z03 收入决算表(财决03表)'!$F$31:$G$31</c:f>
              <c:numCache>
                <c:formatCode>General</c:formatCode>
                <c:ptCount val="2"/>
                <c:pt idx="0">
                  <c:v>0</c:v>
                </c:pt>
                <c:pt idx="1">
                  <c:v>11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2019</a:t>
            </a:r>
            <a:r>
              <a:rPr altLang="en-US"/>
              <a:t>年收入支出情况</a:t>
            </a:r>
            <a:endParaRPr altLang="en-US"/>
          </a:p>
        </c:rich>
      </c:tx>
      <c:layout/>
      <c:overlay val="0"/>
      <c:spPr>
        <a:noFill/>
        <a:ln>
          <a:noFill/>
        </a:ln>
        <a:effectLst/>
      </c:spPr>
    </c:title>
    <c:autoTitleDeleted val="0"/>
    <c:plotArea>
      <c:layout/>
      <c:barChart>
        <c:barDir val="col"/>
        <c:grouping val="clustered"/>
        <c:varyColors val="0"/>
        <c:ser>
          <c:idx val="0"/>
          <c:order val="0"/>
          <c:tx>
            <c:strRef>
              <c:f>[套印户名账号养老.xls]Sheet1!$G$14</c:f>
              <c:strCache>
                <c:ptCount val="1"/>
                <c:pt idx="0">
                  <c:v>总收入</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[套印户名账号养老.xls]Sheet1!$H$13:$I$13</c:f>
              <c:numCache>
                <c:formatCode>General</c:formatCode>
                <c:ptCount val="2"/>
                <c:pt idx="0">
                  <c:v>2018</c:v>
                </c:pt>
                <c:pt idx="1">
                  <c:v>2019</c:v>
                </c:pt>
              </c:numCache>
            </c:numRef>
          </c:cat>
          <c:val>
            <c:numRef>
              <c:f>[套印户名账号养老.xls]Sheet1!$H$14:$I$14</c:f>
              <c:numCache>
                <c:formatCode>General</c:formatCode>
                <c:ptCount val="2"/>
                <c:pt idx="0">
                  <c:v>209.71</c:v>
                </c:pt>
                <c:pt idx="1">
                  <c:v>266.89</c:v>
                </c:pt>
              </c:numCache>
            </c:numRef>
          </c:val>
        </c:ser>
        <c:ser>
          <c:idx val="1"/>
          <c:order val="1"/>
          <c:tx>
            <c:strRef>
              <c:f>[套印户名账号养老.xls]Sheet1!$G$15</c:f>
              <c:strCache>
                <c:ptCount val="1"/>
                <c:pt idx="0">
                  <c:v>总支出</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[套印户名账号养老.xls]Sheet1!$H$13:$I$13</c:f>
              <c:numCache>
                <c:formatCode>General</c:formatCode>
                <c:ptCount val="2"/>
                <c:pt idx="0">
                  <c:v>2018</c:v>
                </c:pt>
                <c:pt idx="1">
                  <c:v>2019</c:v>
                </c:pt>
              </c:numCache>
            </c:numRef>
          </c:cat>
          <c:val>
            <c:numRef>
              <c:f>[套印户名账号养老.xls]Sheet1!$H$15:$I$15</c:f>
              <c:numCache>
                <c:formatCode>General</c:formatCode>
                <c:ptCount val="2"/>
                <c:pt idx="0">
                  <c:v>223.58</c:v>
                </c:pt>
                <c:pt idx="1">
                  <c:v>268.55</c:v>
                </c:pt>
              </c:numCache>
            </c:numRef>
          </c:val>
        </c:ser>
        <c:dLbls>
          <c:showLegendKey val="0"/>
          <c:showVal val="1"/>
          <c:showCatName val="0"/>
          <c:showSerName val="0"/>
          <c:showPercent val="0"/>
          <c:showBubbleSize val="0"/>
        </c:dLbls>
        <c:gapWidth val="219"/>
        <c:overlap val="-27"/>
        <c:axId val="153915826"/>
        <c:axId val="953954789"/>
      </c:barChart>
      <c:catAx>
        <c:axId val="15391582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3954789"/>
        <c:crosses val="autoZero"/>
        <c:auto val="1"/>
        <c:lblAlgn val="ctr"/>
        <c:lblOffset val="100"/>
        <c:noMultiLvlLbl val="0"/>
      </c:catAx>
      <c:valAx>
        <c:axId val="95395478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391582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收入决算情况</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'[2019年决算数据.xls]Z04 支出决算表(财决04表)'!$G$27:$J$27</c:f>
              <c:strCache>
                <c:ptCount val="4"/>
                <c:pt idx="0">
                  <c:v>财政拨款收入</c:v>
                </c:pt>
                <c:pt idx="1">
                  <c:v>事业收入</c:v>
                </c:pt>
                <c:pt idx="2">
                  <c:v>经营收入</c:v>
                </c:pt>
                <c:pt idx="3">
                  <c:v>其他收入</c:v>
                </c:pt>
              </c:strCache>
            </c:strRef>
          </c:cat>
          <c:val>
            <c:numRef>
              <c:f>'[2019年决算数据.xls]Z04 支出决算表(财决04表)'!$G$28:$J$28</c:f>
              <c:numCache>
                <c:formatCode>General</c:formatCode>
                <c:ptCount val="4"/>
                <c:pt idx="0">
                  <c:v>147.7</c:v>
                </c:pt>
                <c:pt idx="1">
                  <c:v>0</c:v>
                </c:pt>
                <c:pt idx="2">
                  <c:v>0</c:v>
                </c:pt>
                <c:pt idx="3">
                  <c:v>119.19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支出决算情况</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'[2019年决算数据.xls]Z04 支出决算表(财决04表)'!$H$27:$J$27</c:f>
              <c:strCache>
                <c:ptCount val="3"/>
                <c:pt idx="0">
                  <c:v>基本支出</c:v>
                </c:pt>
                <c:pt idx="1">
                  <c:v>项目支出</c:v>
                </c:pt>
                <c:pt idx="2">
                  <c:v>经营支出</c:v>
                </c:pt>
              </c:strCache>
            </c:strRef>
          </c:cat>
          <c:val>
            <c:numRef>
              <c:f>'[2019年决算数据.xls]Z04 支出决算表(财决04表)'!$H$28:$J$28</c:f>
              <c:numCache>
                <c:formatCode>General</c:formatCode>
                <c:ptCount val="3"/>
                <c:pt idx="0">
                  <c:v>132.54</c:v>
                </c:pt>
                <c:pt idx="1">
                  <c:v>136.02</c:v>
                </c:pt>
                <c:pt idx="2">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财政拨款收入支出总体情况</a:t>
            </a:r>
          </a:p>
        </c:rich>
      </c:tx>
      <c:layout/>
      <c:overlay val="0"/>
      <c:spPr>
        <a:noFill/>
        <a:ln>
          <a:noFill/>
        </a:ln>
        <a:effectLst/>
      </c:spPr>
    </c:title>
    <c:autoTitleDeleted val="0"/>
    <c:plotArea>
      <c:layout/>
      <c:barChart>
        <c:barDir val="col"/>
        <c:grouping val="clustered"/>
        <c:varyColors val="0"/>
        <c:ser>
          <c:idx val="0"/>
          <c:order val="0"/>
          <c:tx>
            <c:strRef>
              <c:f>[套印户名账号养老.xls]Sheet1!$G$14</c:f>
              <c:strCache>
                <c:ptCount val="1"/>
                <c:pt idx="0">
                  <c:v>财政拨款收入</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[套印户名账号养老.xls]Sheet1!$H$13:$I$13</c:f>
              <c:numCache>
                <c:formatCode>General</c:formatCode>
                <c:ptCount val="2"/>
                <c:pt idx="0">
                  <c:v>2018</c:v>
                </c:pt>
                <c:pt idx="1">
                  <c:v>2019</c:v>
                </c:pt>
              </c:numCache>
            </c:numRef>
          </c:cat>
          <c:val>
            <c:numRef>
              <c:f>[套印户名账号养老.xls]Sheet1!$H$14:$I$14</c:f>
              <c:numCache>
                <c:formatCode>General</c:formatCode>
                <c:ptCount val="2"/>
                <c:pt idx="0">
                  <c:v>117.03</c:v>
                </c:pt>
                <c:pt idx="1">
                  <c:v>147.7</c:v>
                </c:pt>
              </c:numCache>
            </c:numRef>
          </c:val>
        </c:ser>
        <c:ser>
          <c:idx val="1"/>
          <c:order val="1"/>
          <c:tx>
            <c:strRef>
              <c:f>[套印户名账号养老.xls]Sheet1!$G$15</c:f>
              <c:strCache>
                <c:ptCount val="1"/>
                <c:pt idx="0">
                  <c:v>财政拨款支出</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[套印户名账号养老.xls]Sheet1!$H$13:$I$13</c:f>
              <c:numCache>
                <c:formatCode>General</c:formatCode>
                <c:ptCount val="2"/>
                <c:pt idx="0">
                  <c:v>2018</c:v>
                </c:pt>
                <c:pt idx="1">
                  <c:v>2019</c:v>
                </c:pt>
              </c:numCache>
            </c:numRef>
          </c:cat>
          <c:val>
            <c:numRef>
              <c:f>[套印户名账号养老.xls]Sheet1!$H$15:$I$15</c:f>
              <c:numCache>
                <c:formatCode>General</c:formatCode>
                <c:ptCount val="2"/>
                <c:pt idx="0">
                  <c:v>130.9</c:v>
                </c:pt>
                <c:pt idx="1">
                  <c:v>149.36</c:v>
                </c:pt>
              </c:numCache>
            </c:numRef>
          </c:val>
        </c:ser>
        <c:dLbls>
          <c:showLegendKey val="0"/>
          <c:showVal val="1"/>
          <c:showCatName val="0"/>
          <c:showSerName val="0"/>
          <c:showPercent val="0"/>
          <c:showBubbleSize val="0"/>
        </c:dLbls>
        <c:gapWidth val="219"/>
        <c:overlap val="-27"/>
        <c:axId val="723072471"/>
        <c:axId val="388373419"/>
      </c:barChart>
      <c:catAx>
        <c:axId val="72307247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8373419"/>
        <c:crosses val="autoZero"/>
        <c:auto val="1"/>
        <c:lblAlgn val="ctr"/>
        <c:lblOffset val="100"/>
        <c:noMultiLvlLbl val="0"/>
      </c:catAx>
      <c:valAx>
        <c:axId val="38837341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2307247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财政拨款支出决算总体情况</a:t>
            </a:r>
          </a:p>
        </c:rich>
      </c:tx>
      <c:layout/>
      <c:overlay val="0"/>
      <c:spPr>
        <a:noFill/>
        <a:ln>
          <a:noFill/>
        </a:ln>
        <a:effectLst/>
      </c:spPr>
    </c:title>
    <c:autoTitleDeleted val="0"/>
    <c:plotArea>
      <c:layout/>
      <c:barChart>
        <c:barDir val="col"/>
        <c:grouping val="stacked"/>
        <c:varyColors val="0"/>
        <c:ser>
          <c:idx val="0"/>
          <c:order val="0"/>
          <c:tx>
            <c:strRef>
              <c:f>'[2019年决算数据.xls]Z01_1 财政拨款收入支出决算总表(财决01-1表)'!$P$48</c:f>
              <c:strCache>
                <c:ptCount val="1"/>
                <c:pt idx="0">
                  <c:v>财政拨款收入</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'[2019年决算数据.xls]Z01_1 财政拨款收入支出决算总表(财决01-1表)'!$Q$47:$R$47</c:f>
              <c:numCache>
                <c:formatCode>General</c:formatCode>
                <c:ptCount val="2"/>
                <c:pt idx="0">
                  <c:v>2018</c:v>
                </c:pt>
                <c:pt idx="1">
                  <c:v>2019</c:v>
                </c:pt>
              </c:numCache>
            </c:numRef>
          </c:cat>
          <c:val>
            <c:numRef>
              <c:f>'[2019年决算数据.xls]Z01_1 财政拨款收入支出决算总表(财决01-1表)'!$Q$48:$R$48</c:f>
              <c:numCache>
                <c:formatCode>General</c:formatCode>
                <c:ptCount val="2"/>
                <c:pt idx="0">
                  <c:v>130.9</c:v>
                </c:pt>
                <c:pt idx="1">
                  <c:v>149.36</c:v>
                </c:pt>
              </c:numCache>
            </c:numRef>
          </c:val>
        </c:ser>
        <c:ser>
          <c:idx val="1"/>
          <c:order val="1"/>
          <c:tx>
            <c:strRef>
              <c:f>'[2019年决算数据.xls]Z01_1 财政拨款收入支出决算总表(财决01-1表)'!$P$49</c:f>
              <c:strCache>
                <c:ptCount val="1"/>
                <c:pt idx="0">
                  <c:v>本年总收入</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'[2019年决算数据.xls]Z01_1 财政拨款收入支出决算总表(财决01-1表)'!$Q$47:$R$47</c:f>
              <c:numCache>
                <c:formatCode>General</c:formatCode>
                <c:ptCount val="2"/>
                <c:pt idx="0">
                  <c:v>2018</c:v>
                </c:pt>
                <c:pt idx="1">
                  <c:v>2019</c:v>
                </c:pt>
              </c:numCache>
            </c:numRef>
          </c:cat>
          <c:val>
            <c:numRef>
              <c:f>'[2019年决算数据.xls]Z01_1 财政拨款收入支出决算总表(财决01-1表)'!$Q$49:$R$49</c:f>
              <c:numCache>
                <c:formatCode>General</c:formatCode>
                <c:ptCount val="2"/>
                <c:pt idx="1">
                  <c:v>268.55</c:v>
                </c:pt>
              </c:numCache>
            </c:numRef>
          </c:val>
        </c:ser>
        <c:dLbls>
          <c:showLegendKey val="0"/>
          <c:showVal val="1"/>
          <c:showCatName val="0"/>
          <c:showSerName val="0"/>
          <c:showPercent val="0"/>
          <c:showBubbleSize val="0"/>
        </c:dLbls>
        <c:gapWidth val="150"/>
        <c:overlap val="100"/>
        <c:axId val="95118674"/>
        <c:axId val="471814327"/>
      </c:barChart>
      <c:catAx>
        <c:axId val="9511867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71814327"/>
        <c:crosses val="autoZero"/>
        <c:auto val="1"/>
        <c:lblAlgn val="ctr"/>
        <c:lblOffset val="100"/>
        <c:noMultiLvlLbl val="0"/>
      </c:catAx>
      <c:valAx>
        <c:axId val="47181432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11867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2019</a:t>
            </a:r>
            <a:r>
              <a:rPr altLang="en-US"/>
              <a:t>年度</a:t>
            </a:r>
            <a:r>
              <a:rPr lang="en-US" altLang="zh-CN"/>
              <a:t>“</a:t>
            </a:r>
            <a:r>
              <a:rPr altLang="en-US"/>
              <a:t>三公</a:t>
            </a:r>
            <a:r>
              <a:rPr lang="en-US" altLang="zh-CN"/>
              <a:t>”</a:t>
            </a:r>
            <a:r>
              <a:rPr altLang="en-US"/>
              <a:t>经费支出情况</a:t>
            </a:r>
            <a:endParaRPr altLang="en-US"/>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[套印户名账号养老.xls]Sheet1!$G$15:$G$18</c:f>
              <c:strCache>
                <c:ptCount val="4"/>
                <c:pt idx="0">
                  <c:v>因公出国（境）费</c:v>
                </c:pt>
                <c:pt idx="1">
                  <c:v>公务用车购置费</c:v>
                </c:pt>
                <c:pt idx="2">
                  <c:v>公务用车运行维护费</c:v>
                </c:pt>
                <c:pt idx="3">
                  <c:v>公务接待费</c:v>
                </c:pt>
              </c:strCache>
            </c:strRef>
          </c:cat>
          <c:val>
            <c:numRef>
              <c:f>[套印户名账号养老.xls]Sheet1!$H$15:$H$18</c:f>
              <c:numCache>
                <c:formatCode>General</c:formatCode>
                <c:ptCount val="4"/>
                <c:pt idx="0">
                  <c:v>0</c:v>
                </c:pt>
                <c:pt idx="1">
                  <c:v>0</c:v>
                </c:pt>
                <c:pt idx="2">
                  <c:v>0</c:v>
                </c:pt>
                <c:pt idx="3">
                  <c:v>7.57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2019</a:t>
            </a:r>
            <a:r>
              <a:rPr altLang="en-US"/>
              <a:t>年度公务接待费情况</a:t>
            </a:r>
            <a:endParaRPr altLang="en-US"/>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[套印户名账号养老.xls]Sheet1!$H$14:$H$15</c:f>
              <c:strCache>
                <c:ptCount val="2"/>
                <c:pt idx="0">
                  <c:v>预算</c:v>
                </c:pt>
                <c:pt idx="1">
                  <c:v>决算</c:v>
                </c:pt>
              </c:strCache>
            </c:strRef>
          </c:cat>
          <c:val>
            <c:numRef>
              <c:f>[套印户名账号养老.xls]Sheet1!$I$14:$I$15</c:f>
              <c:numCache>
                <c:formatCode>General</c:formatCode>
                <c:ptCount val="2"/>
                <c:pt idx="0">
                  <c:v>8</c:v>
                </c:pt>
                <c:pt idx="1">
                  <c:v>7.57</c:v>
                </c:pt>
              </c:numCache>
            </c:numRef>
          </c:val>
        </c:ser>
        <c:dLbls>
          <c:showLegendKey val="0"/>
          <c:showVal val="1"/>
          <c:showCatName val="0"/>
          <c:showSerName val="0"/>
          <c:showPercent val="0"/>
          <c:showBubbleSize val="0"/>
        </c:dLbls>
        <c:gapWidth val="219"/>
        <c:overlap val="-27"/>
        <c:axId val="822976353"/>
        <c:axId val="586752404"/>
      </c:barChart>
      <c:catAx>
        <c:axId val="822976353"/>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6752404"/>
        <c:crosses val="autoZero"/>
        <c:auto val="1"/>
        <c:lblAlgn val="ctr"/>
        <c:lblOffset val="100"/>
        <c:noMultiLvlLbl val="0"/>
      </c:catAx>
      <c:valAx>
        <c:axId val="586752404"/>
        <c:scaling>
          <c:orientation val="minMax"/>
          <c:max val="8"/>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22976353"/>
        <c:crosses val="autoZero"/>
        <c:crossBetween val="between"/>
        <c:majorUnit val="0.5"/>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1312</Words>
  <Characters>7483</Characters>
  <Lines>62</Lines>
  <Paragraphs>17</Paragraphs>
  <TotalTime>38</TotalTime>
  <ScaleCrop>false</ScaleCrop>
  <LinksUpToDate>false</LinksUpToDate>
  <CharactersWithSpaces>8778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2020-07-23T09:23:00Z</dcterms:created>
  <dc:creator>Administrator</dc:creator>
  <cp:lastModifiedBy>             呀。</cp:lastModifiedBy>
  <cp:lastPrinted>2020-07-28T02:12:00Z</cp:lastPrinted>
  <dcterms:modified xsi:type="dcterms:W3CDTF">2020-10-15T07:16:21Z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