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F0" w:rsidRDefault="001B06F0">
      <w:pPr>
        <w:rPr>
          <w:rFonts w:ascii="黑体" w:eastAsia="黑体" w:hAnsi="黑体"/>
          <w:sz w:val="32"/>
          <w:szCs w:val="32"/>
        </w:rPr>
      </w:pPr>
    </w:p>
    <w:p w:rsidR="001B06F0" w:rsidRDefault="001B06F0">
      <w:pPr>
        <w:jc w:val="center"/>
        <w:rPr>
          <w:rFonts w:ascii="宋体" w:hAnsi="宋体" w:cs="宋体"/>
          <w:b/>
          <w:bCs/>
          <w:sz w:val="44"/>
          <w:szCs w:val="44"/>
        </w:rPr>
      </w:pPr>
    </w:p>
    <w:p w:rsidR="001B06F0" w:rsidRDefault="001B06F0">
      <w:pPr>
        <w:spacing w:line="440" w:lineRule="exact"/>
        <w:jc w:val="center"/>
        <w:rPr>
          <w:rFonts w:ascii="宋体" w:hAnsi="宋体" w:cs="宋体"/>
          <w:b/>
          <w:bCs/>
          <w:sz w:val="44"/>
          <w:szCs w:val="44"/>
        </w:rPr>
      </w:pPr>
    </w:p>
    <w:p w:rsidR="001B06F0" w:rsidRDefault="00BE7D96">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8"/>
          <w:szCs w:val="48"/>
        </w:rPr>
        <w:t>杨陵区科学技术协会2019年部门决算</w:t>
      </w:r>
    </w:p>
    <w:p w:rsidR="001B06F0" w:rsidRDefault="001B06F0">
      <w:pPr>
        <w:spacing w:line="560" w:lineRule="exact"/>
        <w:jc w:val="center"/>
        <w:rPr>
          <w:rFonts w:asciiTheme="majorEastAsia" w:eastAsiaTheme="majorEastAsia" w:hAnsiTheme="majorEastAsia" w:cstheme="majorEastAsia"/>
          <w:b/>
          <w:bCs/>
          <w:sz w:val="44"/>
          <w:szCs w:val="44"/>
        </w:rPr>
      </w:pPr>
    </w:p>
    <w:p w:rsidR="001B06F0" w:rsidRDefault="001B06F0">
      <w:pPr>
        <w:spacing w:line="560" w:lineRule="exact"/>
        <w:jc w:val="center"/>
        <w:rPr>
          <w:rFonts w:asciiTheme="majorEastAsia" w:eastAsiaTheme="majorEastAsia" w:hAnsiTheme="majorEastAsia" w:cstheme="majorEastAsia"/>
          <w:b/>
          <w:bCs/>
          <w:sz w:val="44"/>
          <w:szCs w:val="44"/>
        </w:rPr>
      </w:pPr>
    </w:p>
    <w:p w:rsidR="001B06F0" w:rsidRDefault="001B06F0">
      <w:pPr>
        <w:spacing w:line="560" w:lineRule="exact"/>
        <w:jc w:val="center"/>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560" w:lineRule="exact"/>
        <w:rPr>
          <w:rFonts w:asciiTheme="majorEastAsia" w:eastAsiaTheme="majorEastAsia" w:hAnsiTheme="majorEastAsia" w:cstheme="majorEastAsia"/>
          <w:b/>
          <w:bCs/>
          <w:sz w:val="44"/>
          <w:szCs w:val="44"/>
        </w:rPr>
      </w:pPr>
    </w:p>
    <w:p w:rsidR="001B06F0" w:rsidRDefault="001B06F0">
      <w:pPr>
        <w:spacing w:line="400" w:lineRule="exact"/>
        <w:ind w:firstLineChars="800" w:firstLine="2570"/>
        <w:rPr>
          <w:rFonts w:asciiTheme="majorEastAsia" w:eastAsiaTheme="majorEastAsia" w:hAnsiTheme="majorEastAsia" w:cstheme="majorEastAsia"/>
          <w:b/>
          <w:bCs/>
          <w:sz w:val="32"/>
          <w:szCs w:val="32"/>
        </w:rPr>
      </w:pPr>
    </w:p>
    <w:p w:rsidR="001B06F0" w:rsidRDefault="001B06F0">
      <w:pPr>
        <w:spacing w:line="400" w:lineRule="exact"/>
        <w:ind w:firstLineChars="800" w:firstLine="2570"/>
        <w:rPr>
          <w:rFonts w:asciiTheme="majorEastAsia" w:eastAsiaTheme="majorEastAsia" w:hAnsiTheme="majorEastAsia" w:cstheme="majorEastAsia"/>
          <w:b/>
          <w:bCs/>
          <w:sz w:val="32"/>
          <w:szCs w:val="32"/>
        </w:rPr>
      </w:pPr>
    </w:p>
    <w:p w:rsidR="001B06F0" w:rsidRDefault="00BE7D96">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1B06F0" w:rsidRDefault="001B06F0">
      <w:pPr>
        <w:spacing w:line="400" w:lineRule="exact"/>
        <w:jc w:val="center"/>
        <w:rPr>
          <w:rFonts w:ascii="宋体" w:hAnsi="宋体" w:cs="宋体"/>
          <w:b/>
          <w:bCs/>
          <w:sz w:val="32"/>
          <w:szCs w:val="32"/>
        </w:rPr>
      </w:pPr>
    </w:p>
    <w:p w:rsidR="001B06F0" w:rsidRDefault="00BE7D96">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部门主要负责人审签情况：已审签</w:t>
      </w:r>
    </w:p>
    <w:p w:rsidR="001B06F0" w:rsidRDefault="00BE7D96">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1B06F0" w:rsidRDefault="00BE7D96">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1B06F0" w:rsidRDefault="00BE7D96">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rsidR="001B06F0" w:rsidRDefault="00BE7D96">
      <w:pPr>
        <w:widowControl/>
        <w:jc w:val="center"/>
      </w:pPr>
      <w:r>
        <w:rPr>
          <w:rFonts w:ascii="黑体" w:eastAsia="黑体" w:hAnsi="宋体" w:hint="eastAsia"/>
          <w:color w:val="000000"/>
          <w:kern w:val="0"/>
          <w:sz w:val="32"/>
          <w:szCs w:val="32"/>
        </w:rPr>
        <w:t xml:space="preserve">第一部分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1B06F0" w:rsidRDefault="00BE7D96">
      <w:pPr>
        <w:widowControl/>
        <w:jc w:val="center"/>
      </w:pPr>
      <w:r>
        <w:rPr>
          <w:rFonts w:ascii="黑体" w:eastAsia="黑体" w:hAnsi="宋体" w:hint="eastAsia"/>
          <w:color w:val="000000"/>
          <w:kern w:val="0"/>
          <w:sz w:val="32"/>
          <w:szCs w:val="32"/>
        </w:rPr>
        <w:t>第二部分  2019年部门决算表</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1B06F0" w:rsidRDefault="00BE7D96">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1B06F0" w:rsidRDefault="00BE7D96">
      <w:pPr>
        <w:widowControl/>
        <w:jc w:val="center"/>
      </w:pPr>
      <w:r>
        <w:rPr>
          <w:rFonts w:ascii="黑体" w:eastAsia="黑体" w:hAnsi="宋体" w:hint="eastAsia"/>
          <w:color w:val="000000"/>
          <w:kern w:val="0"/>
          <w:sz w:val="32"/>
          <w:szCs w:val="32"/>
        </w:rPr>
        <w:t xml:space="preserve">第三部分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2019年部门决算情况说明</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1B06F0" w:rsidRDefault="00BE7D96">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r>
        <w:rPr>
          <w:rFonts w:ascii="楷体" w:eastAsia="楷体" w:hAnsi="楷体" w:cs="楷体" w:hint="eastAsia"/>
          <w:color w:val="000000"/>
          <w:kern w:val="0"/>
          <w:sz w:val="32"/>
          <w:szCs w:val="32"/>
        </w:rPr>
        <w:t xml:space="preserve">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1B06F0" w:rsidRDefault="00BE7D96">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w:t>
      </w:r>
      <w:proofErr w:type="gramStart"/>
      <w:r>
        <w:rPr>
          <w:rFonts w:ascii="仿宋" w:eastAsia="仿宋" w:hAnsi="仿宋" w:cs="楷体" w:hint="eastAsia"/>
          <w:color w:val="000000"/>
          <w:kern w:val="0"/>
          <w:sz w:val="32"/>
          <w:szCs w:val="32"/>
        </w:rPr>
        <w:t>中项目</w:t>
      </w:r>
      <w:proofErr w:type="gramEnd"/>
      <w:r>
        <w:rPr>
          <w:rFonts w:ascii="仿宋" w:eastAsia="仿宋" w:hAnsi="仿宋" w:cs="楷体" w:hint="eastAsia"/>
          <w:color w:val="000000"/>
          <w:kern w:val="0"/>
          <w:sz w:val="32"/>
          <w:szCs w:val="32"/>
        </w:rPr>
        <w:t>绩效自评结果</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1B06F0" w:rsidRDefault="00BE7D9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1B06F0" w:rsidRDefault="00BE7D96">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1B06F0" w:rsidRDefault="00BE7D96">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1B06F0" w:rsidRDefault="00BE7D96">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1B06F0" w:rsidRDefault="00BE7D96" w:rsidP="00645474">
      <w:pPr>
        <w:widowControl/>
        <w:ind w:firstLineChars="200" w:firstLine="640"/>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1B06F0" w:rsidRPr="00933613" w:rsidRDefault="00BE7D96">
      <w:pPr>
        <w:shd w:val="clear" w:color="auto" w:fill="FFFFFF"/>
        <w:autoSpaceDN w:val="0"/>
        <w:spacing w:line="576" w:lineRule="exact"/>
        <w:ind w:firstLineChars="271" w:firstLine="867"/>
        <w:rPr>
          <w:rFonts w:ascii="仿宋_GB2312" w:eastAsia="仿宋_GB2312" w:hAnsi="仿宋" w:cs="仿宋"/>
          <w:color w:val="000000"/>
          <w:sz w:val="32"/>
          <w:szCs w:val="32"/>
        </w:rPr>
      </w:pPr>
      <w:r w:rsidRPr="00933613">
        <w:rPr>
          <w:rFonts w:ascii="仿宋_GB2312" w:eastAsia="仿宋_GB2312" w:hAnsi="仿宋" w:cs="仿宋" w:hint="eastAsia"/>
          <w:color w:val="000000"/>
          <w:sz w:val="32"/>
          <w:szCs w:val="32"/>
        </w:rPr>
        <w:t>1、负责基层科协组织建设。抓好科普城区、科普街道、科普社区建设，利用区级学会、协会、研究会为区域经济发展服务。2、弘扬科学精神，普及科学知识，传播科学思想和科学方法，捍卫科学尊严，推广先进技术，开展群众性科普活动、青少年科学技术教育活动，提高全民的科学文化素质。3、反映科学技术工作者的意见和要求，维护科技工作者的合法权益，为科技团体和科技工作者服务；表彰奖励优秀科学技术工作者，举荐人才，促进尊重知识、尊重人才社会风气的形成。4、负责管理区属学会、协会、研究会，对镇（街道）科协组织进行业务指导。</w:t>
      </w:r>
    </w:p>
    <w:p w:rsidR="001B06F0" w:rsidRPr="00933613" w:rsidRDefault="00BE7D96">
      <w:pPr>
        <w:shd w:val="clear" w:color="auto" w:fill="FFFFFF"/>
        <w:autoSpaceDN w:val="0"/>
        <w:spacing w:line="576" w:lineRule="exact"/>
        <w:rPr>
          <w:rFonts w:ascii="仿宋_GB2312" w:eastAsia="仿宋_GB2312" w:hAnsi="仿宋" w:cs="仿宋"/>
          <w:color w:val="000000"/>
          <w:sz w:val="32"/>
          <w:szCs w:val="32"/>
        </w:rPr>
      </w:pPr>
      <w:r w:rsidRPr="00933613">
        <w:rPr>
          <w:rFonts w:ascii="仿宋_GB2312" w:eastAsia="仿宋_GB2312" w:hAnsi="仿宋" w:cs="仿宋" w:hint="eastAsia"/>
          <w:color w:val="000000"/>
          <w:sz w:val="32"/>
          <w:szCs w:val="32"/>
        </w:rPr>
        <w:t>5、负责引导科技工作者在经济发展和社会进步中充分发挥作用。</w:t>
      </w:r>
    </w:p>
    <w:p w:rsidR="001B06F0" w:rsidRPr="00933613" w:rsidRDefault="00BE7D96">
      <w:pPr>
        <w:shd w:val="clear" w:color="auto" w:fill="FFFFFF"/>
        <w:autoSpaceDN w:val="0"/>
        <w:spacing w:line="576" w:lineRule="exact"/>
        <w:rPr>
          <w:rFonts w:ascii="仿宋_GB2312" w:eastAsia="仿宋_GB2312" w:hAnsi="仿宋" w:cs="仿宋"/>
          <w:color w:val="000000"/>
          <w:sz w:val="32"/>
          <w:szCs w:val="32"/>
        </w:rPr>
      </w:pPr>
      <w:r w:rsidRPr="00933613">
        <w:rPr>
          <w:rFonts w:ascii="仿宋_GB2312" w:eastAsia="仿宋_GB2312" w:hAnsi="仿宋" w:cs="仿宋" w:hint="eastAsia"/>
          <w:color w:val="000000"/>
          <w:sz w:val="32"/>
          <w:szCs w:val="32"/>
        </w:rPr>
        <w:t>6、</w:t>
      </w:r>
      <w:r w:rsidRPr="00933613">
        <w:rPr>
          <w:rFonts w:ascii="仿宋_GB2312" w:eastAsia="仿宋_GB2312" w:hAnsi="仿宋" w:cs="仿宋" w:hint="eastAsia"/>
          <w:color w:val="000000"/>
          <w:sz w:val="32"/>
          <w:szCs w:val="32"/>
          <w:shd w:val="clear" w:color="auto" w:fill="FFFFFF"/>
        </w:rPr>
        <w:t>开展民间的科学技术交流活动，促进对外开放，推动科技工作者的交流与合作。</w:t>
      </w:r>
      <w:r w:rsidRPr="00933613">
        <w:rPr>
          <w:rFonts w:ascii="仿宋_GB2312" w:eastAsia="仿宋_GB2312" w:hAnsi="仿宋" w:cs="仿宋" w:hint="eastAsia"/>
          <w:color w:val="000000"/>
          <w:sz w:val="32"/>
          <w:szCs w:val="32"/>
        </w:rPr>
        <w:t>7、负责科普基地建设工作，以全国科普日、科技周、“科技三下乡”、</w:t>
      </w:r>
      <w:proofErr w:type="gramStart"/>
      <w:r w:rsidRPr="00933613">
        <w:rPr>
          <w:rFonts w:ascii="仿宋_GB2312" w:eastAsia="仿宋_GB2312" w:hAnsi="仿宋" w:cs="仿宋" w:hint="eastAsia"/>
          <w:color w:val="000000"/>
          <w:sz w:val="32"/>
          <w:szCs w:val="32"/>
        </w:rPr>
        <w:t>科教进</w:t>
      </w:r>
      <w:proofErr w:type="gramEnd"/>
      <w:r w:rsidRPr="00933613">
        <w:rPr>
          <w:rFonts w:ascii="仿宋_GB2312" w:eastAsia="仿宋_GB2312" w:hAnsi="仿宋" w:cs="仿宋" w:hint="eastAsia"/>
          <w:color w:val="000000"/>
          <w:sz w:val="32"/>
          <w:szCs w:val="32"/>
        </w:rPr>
        <w:t>社区等活动为载体，推进科学大众化。8、完成上级部门及区委、区政府交办的其他工作。</w:t>
      </w:r>
    </w:p>
    <w:p w:rsidR="001B06F0" w:rsidRDefault="00BE7D96" w:rsidP="00645474">
      <w:pPr>
        <w:shd w:val="clear" w:color="auto" w:fill="FFFFFF"/>
        <w:autoSpaceDN w:val="0"/>
        <w:spacing w:line="576" w:lineRule="exact"/>
        <w:ind w:firstLineChars="100" w:firstLine="320"/>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1B06F0" w:rsidRDefault="001B06F0">
      <w:pPr>
        <w:widowControl/>
        <w:ind w:firstLineChars="200" w:firstLine="640"/>
        <w:jc w:val="left"/>
        <w:rPr>
          <w:rFonts w:ascii="黑体" w:eastAsia="黑体" w:hAnsi="宋体"/>
          <w:color w:val="000000"/>
          <w:kern w:val="0"/>
          <w:sz w:val="32"/>
          <w:szCs w:val="32"/>
        </w:rPr>
      </w:pPr>
    </w:p>
    <w:p w:rsidR="001B06F0" w:rsidRDefault="001B06F0">
      <w:pPr>
        <w:widowControl/>
        <w:ind w:firstLineChars="200" w:firstLine="640"/>
        <w:jc w:val="left"/>
        <w:rPr>
          <w:rFonts w:ascii="黑体" w:eastAsia="黑体" w:hAnsi="宋体"/>
          <w:color w:val="000000"/>
          <w:kern w:val="0"/>
          <w:sz w:val="32"/>
          <w:szCs w:val="32"/>
        </w:rPr>
      </w:pPr>
    </w:p>
    <w:p w:rsidR="001B06F0" w:rsidRDefault="001B06F0">
      <w:pPr>
        <w:widowControl/>
        <w:ind w:firstLineChars="200" w:firstLine="640"/>
        <w:jc w:val="left"/>
        <w:rPr>
          <w:rFonts w:ascii="黑体" w:eastAsia="黑体" w:hAnsi="宋体"/>
          <w:color w:val="000000"/>
          <w:kern w:val="0"/>
          <w:sz w:val="32"/>
          <w:szCs w:val="32"/>
        </w:rPr>
      </w:pPr>
    </w:p>
    <w:p w:rsidR="001B06F0" w:rsidRDefault="00BE7D96">
      <w:pPr>
        <w:widowControl/>
        <w:ind w:firstLineChars="200" w:firstLine="640"/>
        <w:jc w:val="left"/>
      </w:pPr>
      <w:r>
        <w:rPr>
          <w:rFonts w:ascii="黑体" w:eastAsia="黑体" w:hAnsi="宋体"/>
          <w:color w:val="000000"/>
          <w:kern w:val="0"/>
          <w:sz w:val="32"/>
          <w:szCs w:val="32"/>
        </w:rPr>
        <w:lastRenderedPageBreak/>
        <w:t>二、</w:t>
      </w:r>
      <w:r>
        <w:rPr>
          <w:rFonts w:ascii="黑体" w:eastAsia="黑体" w:hAnsi="宋体" w:hint="eastAsia"/>
          <w:color w:val="000000"/>
          <w:kern w:val="0"/>
          <w:sz w:val="32"/>
          <w:szCs w:val="32"/>
        </w:rPr>
        <w:t>部门决算单位构成</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纳入2019年本部门决算编制范围的单位共1个，包括本级1个：</w:t>
      </w:r>
    </w:p>
    <w:tbl>
      <w:tblPr>
        <w:tblStyle w:val="a8"/>
        <w:tblW w:w="8959" w:type="dxa"/>
        <w:tblLayout w:type="fixed"/>
        <w:tblLook w:val="04A0"/>
      </w:tblPr>
      <w:tblGrid>
        <w:gridCol w:w="1681"/>
        <w:gridCol w:w="7278"/>
      </w:tblGrid>
      <w:tr w:rsidR="001B06F0">
        <w:trPr>
          <w:trHeight w:val="678"/>
        </w:trPr>
        <w:tc>
          <w:tcPr>
            <w:tcW w:w="1681" w:type="dxa"/>
            <w:vAlign w:val="center"/>
          </w:tcPr>
          <w:p w:rsidR="001B06F0" w:rsidRDefault="00BE7D96">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1B06F0" w:rsidRDefault="00BE7D96">
            <w:pPr>
              <w:jc w:val="center"/>
              <w:rPr>
                <w:rFonts w:ascii="黑体" w:eastAsia="黑体" w:hAnsi="黑体"/>
                <w:sz w:val="32"/>
                <w:szCs w:val="32"/>
              </w:rPr>
            </w:pPr>
            <w:r>
              <w:rPr>
                <w:rFonts w:ascii="黑体" w:eastAsia="黑体" w:hAnsi="黑体" w:hint="eastAsia"/>
                <w:sz w:val="32"/>
                <w:szCs w:val="32"/>
              </w:rPr>
              <w:t>单位名称</w:t>
            </w:r>
          </w:p>
        </w:tc>
      </w:tr>
      <w:tr w:rsidR="001B06F0">
        <w:trPr>
          <w:trHeight w:val="678"/>
        </w:trPr>
        <w:tc>
          <w:tcPr>
            <w:tcW w:w="1681" w:type="dxa"/>
            <w:vAlign w:val="center"/>
          </w:tcPr>
          <w:p w:rsidR="001B06F0" w:rsidRDefault="00BE7D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1B06F0" w:rsidRDefault="00BE7D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杨陵区科学技术协会（本级）</w:t>
            </w:r>
          </w:p>
        </w:tc>
      </w:tr>
    </w:tbl>
    <w:p w:rsidR="001B06F0" w:rsidRDefault="00BE7D96">
      <w:pPr>
        <w:ind w:firstLine="640"/>
        <w:rPr>
          <w:rFonts w:ascii="黑体" w:eastAsia="黑体" w:hAnsi="黑体"/>
          <w:b/>
          <w:bCs/>
          <w:sz w:val="32"/>
          <w:szCs w:val="32"/>
        </w:rPr>
      </w:pPr>
      <w:r>
        <w:rPr>
          <w:rFonts w:ascii="黑体" w:eastAsia="黑体" w:hAnsi="黑体" w:hint="eastAsia"/>
          <w:b/>
          <w:bCs/>
          <w:sz w:val="32"/>
          <w:szCs w:val="32"/>
        </w:rPr>
        <w:t>三、部门人员情况</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截止2019年底，本部门人员编制3人，其中行政编制0人、事业编制3人；实有人员2人，其中行政1人、事业1人。单位管理的离退休人员0人。</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942205"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06F0" w:rsidRDefault="001B06F0">
      <w:pPr>
        <w:widowControl/>
        <w:jc w:val="center"/>
        <w:rPr>
          <w:rFonts w:ascii="黑体" w:eastAsia="黑体" w:hAnsi="宋体"/>
          <w:color w:val="000000"/>
          <w:kern w:val="0"/>
          <w:sz w:val="44"/>
          <w:szCs w:val="44"/>
        </w:rPr>
      </w:pPr>
    </w:p>
    <w:p w:rsidR="001B06F0" w:rsidRDefault="001B06F0">
      <w:pPr>
        <w:widowControl/>
        <w:jc w:val="center"/>
        <w:rPr>
          <w:rFonts w:ascii="黑体" w:eastAsia="黑体" w:hAnsi="宋体"/>
          <w:color w:val="000000"/>
          <w:kern w:val="0"/>
          <w:sz w:val="44"/>
          <w:szCs w:val="44"/>
        </w:rPr>
      </w:pPr>
    </w:p>
    <w:p w:rsidR="001B06F0" w:rsidRDefault="001B06F0">
      <w:pPr>
        <w:widowControl/>
        <w:jc w:val="center"/>
        <w:rPr>
          <w:rFonts w:ascii="黑体" w:eastAsia="黑体" w:hAnsi="宋体"/>
          <w:color w:val="000000"/>
          <w:kern w:val="0"/>
          <w:sz w:val="44"/>
          <w:szCs w:val="44"/>
        </w:rPr>
      </w:pPr>
    </w:p>
    <w:p w:rsidR="001B06F0" w:rsidRDefault="001B06F0">
      <w:pPr>
        <w:widowControl/>
        <w:jc w:val="center"/>
        <w:rPr>
          <w:rFonts w:ascii="黑体" w:eastAsia="黑体" w:hAnsi="宋体"/>
          <w:color w:val="000000"/>
          <w:kern w:val="0"/>
          <w:sz w:val="44"/>
          <w:szCs w:val="44"/>
        </w:rPr>
      </w:pPr>
    </w:p>
    <w:p w:rsidR="001B06F0" w:rsidRDefault="001B06F0">
      <w:pPr>
        <w:widowControl/>
        <w:jc w:val="center"/>
        <w:rPr>
          <w:rFonts w:ascii="黑体" w:eastAsia="黑体" w:hAnsi="宋体"/>
          <w:color w:val="000000"/>
          <w:kern w:val="0"/>
          <w:sz w:val="44"/>
          <w:szCs w:val="44"/>
        </w:rPr>
      </w:pPr>
    </w:p>
    <w:p w:rsidR="001B06F0" w:rsidRDefault="00BE7D96">
      <w:pPr>
        <w:widowControl/>
        <w:jc w:val="center"/>
        <w:rPr>
          <w:rFonts w:eastAsia="黑体"/>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1B06F0">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1B06F0" w:rsidRDefault="00BE7D96">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1B06F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1B06F0">
            <w:pPr>
              <w:jc w:val="center"/>
              <w:rPr>
                <w:rFonts w:ascii="宋体" w:hAnsi="宋体" w:cs="宋体"/>
                <w:color w:val="000000"/>
                <w:sz w:val="24"/>
              </w:rPr>
            </w:pPr>
          </w:p>
        </w:tc>
      </w:tr>
      <w:tr w:rsidR="001B06F0">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6F0" w:rsidRDefault="00BE7D96">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本年度无三</w:t>
            </w:r>
            <w:proofErr w:type="gramStart"/>
            <w:r>
              <w:rPr>
                <w:rFonts w:ascii="宋体" w:hAnsi="宋体" w:cs="宋体" w:hint="eastAsia"/>
                <w:color w:val="000000"/>
                <w:sz w:val="24"/>
              </w:rPr>
              <w:t>公经费</w:t>
            </w:r>
            <w:proofErr w:type="gramEnd"/>
          </w:p>
        </w:tc>
      </w:tr>
      <w:tr w:rsidR="001B06F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1B06F0" w:rsidRDefault="00BE7D96">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6F0" w:rsidRDefault="00BE7D96">
            <w:pPr>
              <w:jc w:val="center"/>
              <w:rPr>
                <w:rFonts w:ascii="宋体" w:hAnsi="宋体" w:cs="宋体"/>
                <w:color w:val="000000"/>
                <w:sz w:val="24"/>
              </w:rPr>
            </w:pPr>
            <w:r>
              <w:rPr>
                <w:rFonts w:ascii="宋体" w:hAnsi="宋体" w:cs="宋体" w:hint="eastAsia"/>
                <w:color w:val="000000"/>
                <w:sz w:val="24"/>
              </w:rPr>
              <w:t>本年度无政府性基金</w:t>
            </w:r>
          </w:p>
        </w:tc>
      </w:tr>
    </w:tbl>
    <w:p w:rsidR="001B06F0" w:rsidRDefault="001B06F0">
      <w:pPr>
        <w:widowControl/>
        <w:rPr>
          <w:rFonts w:ascii="黑体" w:eastAsia="黑体" w:hAnsi="宋体"/>
          <w:color w:val="000000"/>
          <w:kern w:val="0"/>
          <w:sz w:val="44"/>
          <w:szCs w:val="44"/>
        </w:rPr>
      </w:pPr>
    </w:p>
    <w:p w:rsidR="001B06F0" w:rsidRDefault="001B06F0">
      <w:pPr>
        <w:widowControl/>
        <w:rPr>
          <w:rFonts w:ascii="黑体" w:eastAsia="黑体" w:hAnsi="宋体"/>
          <w:color w:val="000000"/>
          <w:kern w:val="0"/>
          <w:sz w:val="44"/>
          <w:szCs w:val="44"/>
        </w:rPr>
      </w:pPr>
    </w:p>
    <w:p w:rsidR="001B06F0" w:rsidRDefault="00BE7D96">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1B06F0">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1B06F0">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19.23</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szCs w:val="21"/>
              </w:rPr>
              <w:t>3.00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B06F0" w:rsidRDefault="001B06F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415"/>
        </w:trPr>
        <w:tc>
          <w:tcPr>
            <w:tcW w:w="3388" w:type="dxa"/>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22.23 </w:t>
            </w:r>
          </w:p>
        </w:tc>
        <w:tc>
          <w:tcPr>
            <w:tcW w:w="3090" w:type="dxa"/>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1B06F0" w:rsidRDefault="00BE7D96">
            <w:pPr>
              <w:ind w:firstLineChars="300" w:firstLine="630"/>
              <w:jc w:val="left"/>
              <w:rPr>
                <w:rFonts w:ascii="宋体" w:hAnsi="宋体" w:cs="宋体"/>
                <w:b/>
                <w:color w:val="000000"/>
                <w:szCs w:val="21"/>
              </w:rPr>
            </w:pPr>
            <w:r>
              <w:rPr>
                <w:rFonts w:ascii="宋体" w:hAnsi="宋体" w:cs="宋体" w:hint="eastAsia"/>
                <w:color w:val="000000"/>
                <w:szCs w:val="21"/>
              </w:rPr>
              <w:t>22.23</w:t>
            </w:r>
          </w:p>
        </w:tc>
      </w:tr>
      <w:tr w:rsidR="001B06F0">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1B06F0" w:rsidRDefault="00BE7D96">
            <w:pPr>
              <w:jc w:val="center"/>
              <w:rPr>
                <w:rFonts w:ascii="宋体" w:hAnsi="宋体" w:cs="宋体"/>
                <w:b/>
                <w:color w:val="000000"/>
                <w:szCs w:val="21"/>
              </w:rPr>
            </w:pPr>
            <w:r>
              <w:rPr>
                <w:rFonts w:ascii="宋体" w:hAnsi="宋体" w:cs="宋体" w:hint="eastAsia"/>
                <w:color w:val="000000"/>
                <w:szCs w:val="21"/>
              </w:rPr>
              <w:t xml:space="preserve">        0.00</w:t>
            </w:r>
          </w:p>
        </w:tc>
      </w:tr>
      <w:tr w:rsidR="001B06F0">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bCs/>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ind w:firstLineChars="400" w:firstLine="840"/>
              <w:rPr>
                <w:rFonts w:ascii="宋体" w:hAnsi="宋体" w:cs="宋体"/>
                <w:b/>
                <w:color w:val="000000"/>
                <w:szCs w:val="21"/>
              </w:rPr>
            </w:pPr>
            <w:r>
              <w:rPr>
                <w:rFonts w:ascii="宋体" w:hAnsi="宋体" w:cs="宋体" w:hint="eastAsia"/>
                <w:color w:val="000000"/>
                <w:szCs w:val="21"/>
              </w:rPr>
              <w:t>0.00</w:t>
            </w:r>
          </w:p>
        </w:tc>
      </w:tr>
      <w:tr w:rsidR="001B06F0">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c>
          <w:tcPr>
            <w:tcW w:w="309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color w:val="000000"/>
                <w:szCs w:val="21"/>
              </w:rPr>
              <w:t xml:space="preserve">     22.23</w:t>
            </w:r>
          </w:p>
        </w:tc>
      </w:tr>
    </w:tbl>
    <w:p w:rsidR="001B06F0" w:rsidRDefault="00BE7D96">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收入决算表</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rsidR="001B06F0" w:rsidRDefault="00BE7D96">
      <w:pPr>
        <w:rPr>
          <w:rFonts w:ascii="宋体" w:hAnsi="宋体" w:cs="宋体"/>
          <w:b/>
          <w:bCs/>
          <w:sz w:val="48"/>
          <w:szCs w:val="48"/>
        </w:rPr>
      </w:pPr>
      <w:r>
        <w:rPr>
          <w:rFonts w:ascii="宋体" w:hAnsi="宋体" w:cs="宋体" w:hint="eastAsia"/>
          <w:b/>
          <w:bCs/>
          <w:szCs w:val="21"/>
        </w:rPr>
        <w:t>编制部门：杨陵区科学技术协会                                         金额单位：万元</w:t>
      </w:r>
    </w:p>
    <w:tbl>
      <w:tblPr>
        <w:tblW w:w="8867" w:type="dxa"/>
        <w:tblLayout w:type="fixed"/>
        <w:tblCellMar>
          <w:top w:w="15" w:type="dxa"/>
          <w:left w:w="15" w:type="dxa"/>
          <w:bottom w:w="15" w:type="dxa"/>
          <w:right w:w="15" w:type="dxa"/>
        </w:tblCellMar>
        <w:tblLook w:val="04A0"/>
      </w:tblPr>
      <w:tblGrid>
        <w:gridCol w:w="927"/>
        <w:gridCol w:w="755"/>
        <w:gridCol w:w="855"/>
        <w:gridCol w:w="870"/>
        <w:gridCol w:w="720"/>
        <w:gridCol w:w="720"/>
        <w:gridCol w:w="1470"/>
        <w:gridCol w:w="750"/>
        <w:gridCol w:w="990"/>
        <w:gridCol w:w="810"/>
      </w:tblGrid>
      <w:tr w:rsidR="001B06F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1B06F0" w:rsidRDefault="00BE7D9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1B06F0">
        <w:trPr>
          <w:trHeight w:val="1125"/>
        </w:trPr>
        <w:tc>
          <w:tcPr>
            <w:tcW w:w="927" w:type="dxa"/>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755" w:type="dxa"/>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 xml:space="preserve">其中：教育 </w:t>
            </w:r>
          </w:p>
          <w:p w:rsidR="001B06F0" w:rsidRDefault="00BE7D96">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19.23</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19.23</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20601</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科学技术管理事务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2060199</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其他科学技术管理事务支出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20607</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科学技术普及</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2060799</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其他科学技术普及支出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20699</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2069999</w:t>
            </w: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bl>
    <w:p w:rsidR="001B06F0" w:rsidRDefault="00BE7D96">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支出决算表</w:t>
      </w:r>
    </w:p>
    <w:p w:rsidR="001B06F0" w:rsidRDefault="00BE7D96">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rsidR="001B06F0" w:rsidRDefault="00BE7D96">
      <w:pPr>
        <w:rPr>
          <w:rFonts w:ascii="宋体" w:hAnsi="宋体" w:cs="宋体"/>
          <w:b/>
          <w:bCs/>
          <w:sz w:val="48"/>
          <w:szCs w:val="48"/>
        </w:rPr>
      </w:pPr>
      <w:r>
        <w:rPr>
          <w:rFonts w:ascii="宋体" w:hAnsi="宋体" w:cs="宋体" w:hint="eastAsia"/>
          <w:b/>
          <w:bCs/>
          <w:szCs w:val="21"/>
        </w:rPr>
        <w:t>编制部门：杨陵区科学技术协会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1B06F0">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1B06F0">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12.99</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617"/>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22.23</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pPr>
            <w:r>
              <w:rPr>
                <w:rFonts w:ascii="宋体" w:hAnsi="宋体" w:cs="宋体" w:hint="eastAsia"/>
                <w:color w:val="000000"/>
                <w:szCs w:val="21"/>
              </w:rPr>
              <w:t xml:space="preserve">     9.24</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12.99</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其他科学技术管理事务支出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科学技术普及</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其他科学技术普及支出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2069999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其他科学技术支出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3.00</w:t>
            </w: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840"/>
        </w:trPr>
        <w:tc>
          <w:tcPr>
            <w:tcW w:w="91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bl>
    <w:p w:rsidR="001B06F0" w:rsidRDefault="00BE7D96">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1B06F0" w:rsidRDefault="001B06F0">
      <w:pPr>
        <w:jc w:val="center"/>
        <w:rPr>
          <w:rFonts w:ascii="宋体" w:hAnsi="宋体" w:cs="宋体"/>
          <w:b/>
          <w:bCs/>
          <w:sz w:val="32"/>
          <w:szCs w:val="32"/>
        </w:rPr>
      </w:pP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1B06F0">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1B06F0">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1B06F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19.23</w:t>
            </w: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19.23</w:t>
            </w: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19.23</w:t>
            </w: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1B06F0" w:rsidRDefault="001B06F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1B06F0" w:rsidRDefault="001B06F0">
            <w:pPr>
              <w:rPr>
                <w:rFonts w:ascii="宋体" w:hAnsi="宋体" w:cs="宋体"/>
                <w:b/>
                <w:color w:val="000000"/>
                <w:szCs w:val="21"/>
              </w:rPr>
            </w:pPr>
          </w:p>
        </w:tc>
      </w:tr>
    </w:tbl>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公开04表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1B06F0">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1B06F0">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1B06F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19.23 </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19.23</w:t>
            </w: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19.23</w:t>
            </w: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r>
      <w:tr w:rsidR="001B06F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1B06F0" w:rsidRDefault="00BE7D96">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r>
      <w:tr w:rsidR="001B06F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1B06F0" w:rsidRDefault="00BE7D96">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 xml:space="preserve">        19.23</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r>
      <w:tr w:rsidR="001B06F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1B06F0" w:rsidRDefault="00BE7D96">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 xml:space="preserve">       0.00</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r>
      <w:tr w:rsidR="001B06F0">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b/>
                <w:color w:val="000000"/>
                <w:kern w:val="0"/>
                <w:szCs w:val="21"/>
              </w:rPr>
            </w:pPr>
            <w:r>
              <w:rPr>
                <w:rFonts w:ascii="宋体" w:hAnsi="宋体" w:cs="宋体" w:hint="eastAsia"/>
                <w:b/>
                <w:color w:val="000000"/>
                <w:kern w:val="0"/>
                <w:szCs w:val="21"/>
              </w:rPr>
              <w:t>19.23</w:t>
            </w:r>
          </w:p>
        </w:tc>
        <w:tc>
          <w:tcPr>
            <w:tcW w:w="181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19.23</w:t>
            </w:r>
          </w:p>
        </w:tc>
        <w:tc>
          <w:tcPr>
            <w:tcW w:w="106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19.23</w:t>
            </w:r>
          </w:p>
        </w:tc>
        <w:tc>
          <w:tcPr>
            <w:tcW w:w="119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b/>
                <w:color w:val="000000"/>
                <w:kern w:val="0"/>
                <w:szCs w:val="21"/>
              </w:rPr>
            </w:pPr>
          </w:p>
        </w:tc>
      </w:tr>
    </w:tbl>
    <w:p w:rsidR="001B06F0" w:rsidRDefault="001B06F0">
      <w:pPr>
        <w:rPr>
          <w:rFonts w:ascii="宋体" w:hAnsi="宋体" w:cs="宋体"/>
          <w:szCs w:val="21"/>
        </w:rPr>
      </w:pPr>
    </w:p>
    <w:p w:rsidR="001B06F0" w:rsidRDefault="00BE7D96">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1B06F0" w:rsidRDefault="001B06F0">
      <w:pPr>
        <w:rPr>
          <w:rFonts w:ascii="仿宋_GB2312" w:eastAsia="仿宋_GB2312" w:hAnsi="仿宋_GB2312" w:cs="仿宋_GB2312"/>
          <w:sz w:val="32"/>
          <w:szCs w:val="32"/>
        </w:rPr>
      </w:pPr>
    </w:p>
    <w:p w:rsidR="001B06F0" w:rsidRDefault="001B06F0"/>
    <w:p w:rsidR="001B06F0" w:rsidRDefault="001B06F0">
      <w:pPr>
        <w:rPr>
          <w:rFonts w:ascii="仿宋_GB2312" w:eastAsia="仿宋_GB2312" w:hAnsi="仿宋_GB2312" w:cs="仿宋_GB2312"/>
          <w:sz w:val="32"/>
          <w:szCs w:val="32"/>
        </w:rPr>
      </w:pPr>
    </w:p>
    <w:p w:rsidR="001B06F0" w:rsidRDefault="001B06F0">
      <w:pPr>
        <w:rPr>
          <w:rFonts w:ascii="仿宋_GB2312" w:eastAsia="仿宋_GB2312" w:hAnsi="仿宋_GB2312" w:cs="仿宋_GB2312"/>
          <w:sz w:val="32"/>
          <w:szCs w:val="32"/>
        </w:rPr>
      </w:pPr>
    </w:p>
    <w:p w:rsidR="001B06F0" w:rsidRDefault="001B06F0">
      <w:pPr>
        <w:rPr>
          <w:rFonts w:ascii="仿宋_GB2312" w:eastAsia="仿宋_GB2312" w:hAnsi="仿宋_GB2312" w:cs="仿宋_GB2312"/>
          <w:sz w:val="32"/>
          <w:szCs w:val="32"/>
        </w:rPr>
      </w:pPr>
    </w:p>
    <w:p w:rsidR="001B06F0" w:rsidRDefault="001B06F0">
      <w:pPr>
        <w:rPr>
          <w:rFonts w:ascii="仿宋_GB2312" w:eastAsia="仿宋_GB2312" w:hAnsi="仿宋_GB2312" w:cs="仿宋_GB2312"/>
          <w:sz w:val="32"/>
          <w:szCs w:val="32"/>
        </w:rPr>
      </w:pPr>
    </w:p>
    <w:p w:rsidR="001B06F0" w:rsidRDefault="001B06F0">
      <w:pPr>
        <w:rPr>
          <w:rFonts w:ascii="仿宋_GB2312" w:eastAsia="仿宋_GB2312" w:hAnsi="仿宋_GB2312" w:cs="仿宋_GB2312"/>
          <w:sz w:val="32"/>
          <w:szCs w:val="32"/>
        </w:rPr>
      </w:pPr>
    </w:p>
    <w:p w:rsidR="001B06F0" w:rsidRDefault="00BE7D96">
      <w:pPr>
        <w:rPr>
          <w:rFonts w:ascii="宋体" w:hAnsi="宋体" w:cs="宋体"/>
          <w:b/>
          <w:bCs/>
          <w:sz w:val="32"/>
          <w:szCs w:val="32"/>
        </w:rPr>
      </w:pPr>
      <w:r>
        <w:rPr>
          <w:rFonts w:ascii="宋体" w:hAnsi="宋体" w:cs="宋体" w:hint="eastAsia"/>
          <w:b/>
          <w:bCs/>
          <w:sz w:val="32"/>
          <w:szCs w:val="32"/>
        </w:rPr>
        <w:br w:type="page"/>
      </w: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1B06F0" w:rsidRDefault="00BE7D96">
      <w:pPr>
        <w:rPr>
          <w:rFonts w:ascii="宋体" w:hAnsi="宋体" w:cs="宋体"/>
          <w:b/>
          <w:bCs/>
          <w:szCs w:val="21"/>
        </w:rPr>
      </w:pPr>
      <w:r>
        <w:rPr>
          <w:rFonts w:ascii="宋体" w:hAnsi="宋体" w:cs="宋体" w:hint="eastAsia"/>
          <w:b/>
          <w:bCs/>
          <w:szCs w:val="21"/>
        </w:rPr>
        <w:t xml:space="preserve">                                                                          公开05表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1B06F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1B06F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19.23</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206</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20601</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科学技术管理事务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2060199</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szCs w:val="21"/>
              </w:rPr>
            </w:pPr>
            <w:r>
              <w:rPr>
                <w:rFonts w:ascii="宋体" w:hAnsi="宋体" w:cs="宋体" w:hint="eastAsia"/>
                <w:color w:val="000000"/>
                <w:kern w:val="0"/>
                <w:szCs w:val="21"/>
              </w:rPr>
              <w:t>其他科学技术管理事务支出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9.24</w:t>
            </w: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BE7D96">
            <w:pPr>
              <w:tabs>
                <w:tab w:val="left" w:pos="369"/>
              </w:tabs>
              <w:jc w:val="left"/>
              <w:rPr>
                <w:rFonts w:ascii="宋体" w:hAnsi="宋体" w:cs="宋体"/>
                <w:color w:val="000000"/>
                <w:szCs w:val="21"/>
              </w:rPr>
            </w:pPr>
            <w:r>
              <w:rPr>
                <w:rFonts w:ascii="宋体" w:hAnsi="宋体" w:cs="宋体" w:hint="eastAsia"/>
                <w:color w:val="000000"/>
                <w:szCs w:val="21"/>
              </w:rPr>
              <w:tab/>
              <w:t>9.24</w:t>
            </w: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20607</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szCs w:val="21"/>
              </w:rPr>
            </w:pPr>
            <w:r>
              <w:rPr>
                <w:rFonts w:ascii="宋体" w:hAnsi="宋体" w:cs="宋体" w:hint="eastAsia"/>
                <w:color w:val="000000"/>
                <w:szCs w:val="21"/>
              </w:rPr>
              <w:t>科学技术普及</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2060799</w:t>
            </w: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color w:val="000000"/>
                <w:szCs w:val="21"/>
              </w:rPr>
            </w:pPr>
            <w:r>
              <w:rPr>
                <w:rFonts w:ascii="宋体" w:hAnsi="宋体" w:cs="宋体" w:hint="eastAsia"/>
                <w:color w:val="000000"/>
                <w:kern w:val="0"/>
                <w:szCs w:val="21"/>
              </w:rPr>
              <w:t>其他科学技术普及支出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right"/>
              <w:rPr>
                <w:rFonts w:ascii="宋体" w:hAnsi="宋体" w:cs="宋体"/>
                <w:color w:val="000000"/>
                <w:szCs w:val="21"/>
              </w:rPr>
            </w:pPr>
            <w:r>
              <w:rPr>
                <w:rFonts w:ascii="宋体" w:hAnsi="宋体" w:cs="宋体" w:hint="eastAsia"/>
                <w:color w:val="000000"/>
                <w:szCs w:val="21"/>
              </w:rPr>
              <w:t>9.99</w:t>
            </w: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center"/>
              <w:textAlignment w:val="center"/>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B06F0" w:rsidRDefault="001B06F0">
            <w:pPr>
              <w:tabs>
                <w:tab w:val="left" w:pos="369"/>
              </w:tabs>
              <w:jc w:val="lef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bl>
    <w:p w:rsidR="001B06F0" w:rsidRDefault="00BE7D96">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1B06F0" w:rsidRDefault="00BE7D96">
      <w:pPr>
        <w:rPr>
          <w:rFonts w:ascii="宋体" w:hAnsi="宋体" w:cs="宋体"/>
          <w:b/>
          <w:bCs/>
          <w:sz w:val="32"/>
          <w:szCs w:val="32"/>
        </w:rPr>
      </w:pPr>
      <w:r>
        <w:rPr>
          <w:rFonts w:ascii="宋体" w:hAnsi="宋体" w:cs="宋体" w:hint="eastAsia"/>
          <w:b/>
          <w:bCs/>
          <w:sz w:val="32"/>
          <w:szCs w:val="32"/>
        </w:rPr>
        <w:br w:type="page"/>
      </w:r>
    </w:p>
    <w:p w:rsidR="001B06F0" w:rsidRDefault="00BE7D96">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817" w:type="dxa"/>
        <w:tblLayout w:type="fixed"/>
        <w:tblCellMar>
          <w:top w:w="15" w:type="dxa"/>
          <w:left w:w="15" w:type="dxa"/>
          <w:bottom w:w="15" w:type="dxa"/>
          <w:right w:w="15" w:type="dxa"/>
        </w:tblCellMar>
        <w:tblLook w:val="04A0"/>
      </w:tblPr>
      <w:tblGrid>
        <w:gridCol w:w="1022"/>
        <w:gridCol w:w="2181"/>
        <w:gridCol w:w="1659"/>
        <w:gridCol w:w="1437"/>
        <w:gridCol w:w="1363"/>
        <w:gridCol w:w="1155"/>
      </w:tblGrid>
      <w:tr w:rsidR="001B06F0">
        <w:trPr>
          <w:trHeight w:val="36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1B06F0">
        <w:trPr>
          <w:trHeight w:val="670"/>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经济分类</w:t>
            </w:r>
          </w:p>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28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9.24</w:t>
            </w:r>
          </w:p>
        </w:tc>
        <w:tc>
          <w:tcPr>
            <w:tcW w:w="1437" w:type="dxa"/>
            <w:tcBorders>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9.24</w:t>
            </w:r>
          </w:p>
        </w:tc>
        <w:tc>
          <w:tcPr>
            <w:tcW w:w="1363" w:type="dxa"/>
            <w:tcBorders>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155" w:type="dxa"/>
            <w:tcBorders>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8.12</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8.12</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3.26</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3.26</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1.78</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1.78</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1B06F0">
            <w:pPr>
              <w:widowControl/>
              <w:jc w:val="left"/>
              <w:textAlignment w:val="center"/>
              <w:rPr>
                <w:rFonts w:ascii="宋体" w:hAnsi="宋体" w:cs="宋体"/>
                <w:color w:val="000000"/>
                <w:szCs w:val="21"/>
              </w:rPr>
            </w:pP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left"/>
              <w:rPr>
                <w:rFonts w:ascii="宋体" w:hAnsi="宋体" w:cs="宋体"/>
                <w:color w:val="000000"/>
                <w:szCs w:val="21"/>
              </w:rPr>
            </w:pPr>
            <w:r>
              <w:rPr>
                <w:rFonts w:ascii="宋体" w:hAnsi="宋体" w:cs="宋体" w:hint="eastAsia"/>
                <w:color w:val="000000"/>
                <w:szCs w:val="21"/>
              </w:rPr>
              <w:t>伙食补助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0.18</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0.18</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ind w:firstLineChars="100" w:firstLine="210"/>
              <w:jc w:val="left"/>
              <w:textAlignment w:val="center"/>
              <w:rPr>
                <w:rFonts w:ascii="宋体" w:hAnsi="宋体" w:cs="宋体"/>
                <w:color w:val="000000"/>
                <w:szCs w:val="21"/>
              </w:rPr>
            </w:pPr>
            <w:r>
              <w:rPr>
                <w:rFonts w:ascii="宋体" w:hAnsi="宋体" w:cs="宋体" w:hint="eastAsia"/>
                <w:color w:val="000000"/>
                <w:szCs w:val="21"/>
              </w:rPr>
              <w:t>30107</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1.96</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1.96</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 xml:space="preserve">  30108</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机关事业单位养老保险</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tabs>
                <w:tab w:val="left" w:pos="519"/>
              </w:tabs>
              <w:jc w:val="left"/>
              <w:rPr>
                <w:rFonts w:ascii="宋体" w:hAnsi="宋体" w:cs="宋体"/>
                <w:color w:val="000000"/>
                <w:szCs w:val="21"/>
              </w:rPr>
            </w:pPr>
            <w:r>
              <w:rPr>
                <w:rFonts w:ascii="宋体" w:hAnsi="宋体" w:cs="宋体" w:hint="eastAsia"/>
                <w:color w:val="000000"/>
                <w:szCs w:val="21"/>
              </w:rPr>
              <w:tab/>
              <w:t>0.93</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tabs>
                <w:tab w:val="left" w:pos="519"/>
              </w:tabs>
              <w:jc w:val="left"/>
              <w:rPr>
                <w:rFonts w:ascii="宋体" w:hAnsi="宋体" w:cs="宋体"/>
                <w:color w:val="000000"/>
                <w:szCs w:val="21"/>
              </w:rPr>
            </w:pPr>
            <w:r>
              <w:rPr>
                <w:rFonts w:ascii="宋体" w:hAnsi="宋体" w:cs="宋体" w:hint="eastAsia"/>
                <w:color w:val="000000"/>
                <w:szCs w:val="21"/>
              </w:rPr>
              <w:tab/>
              <w:t>0.93</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303</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tabs>
                <w:tab w:val="left" w:pos="519"/>
              </w:tabs>
              <w:jc w:val="left"/>
              <w:rPr>
                <w:rFonts w:ascii="宋体" w:hAnsi="宋体" w:cs="宋体"/>
                <w:color w:val="000000"/>
                <w:szCs w:val="21"/>
              </w:rPr>
            </w:pPr>
            <w:r>
              <w:rPr>
                <w:rFonts w:ascii="宋体" w:hAnsi="宋体" w:cs="宋体" w:hint="eastAsia"/>
                <w:color w:val="000000"/>
                <w:szCs w:val="21"/>
              </w:rPr>
              <w:t>1.12</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tabs>
                <w:tab w:val="left" w:pos="519"/>
              </w:tabs>
              <w:jc w:val="left"/>
              <w:rPr>
                <w:rFonts w:ascii="宋体" w:hAnsi="宋体" w:cs="宋体"/>
                <w:color w:val="000000"/>
                <w:szCs w:val="21"/>
              </w:rPr>
            </w:pPr>
            <w:r>
              <w:rPr>
                <w:rFonts w:ascii="宋体" w:hAnsi="宋体" w:cs="宋体" w:hint="eastAsia"/>
                <w:color w:val="000000"/>
                <w:szCs w:val="21"/>
              </w:rPr>
              <w:t>1.12</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34"/>
        </w:trPr>
        <w:tc>
          <w:tcPr>
            <w:tcW w:w="102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ind w:firstLineChars="100" w:firstLine="210"/>
              <w:jc w:val="left"/>
              <w:textAlignment w:val="center"/>
              <w:rPr>
                <w:rFonts w:ascii="宋体" w:hAnsi="宋体" w:cs="宋体"/>
                <w:color w:val="000000"/>
                <w:szCs w:val="21"/>
              </w:rPr>
            </w:pPr>
            <w:r>
              <w:rPr>
                <w:rFonts w:ascii="宋体" w:hAnsi="宋体" w:cs="宋体" w:hint="eastAsia"/>
                <w:color w:val="000000"/>
                <w:szCs w:val="21"/>
              </w:rPr>
              <w:t>30311</w:t>
            </w:r>
          </w:p>
        </w:tc>
        <w:tc>
          <w:tcPr>
            <w:tcW w:w="218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left"/>
              <w:textAlignment w:val="center"/>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1.12</w:t>
            </w:r>
          </w:p>
        </w:tc>
        <w:tc>
          <w:tcPr>
            <w:tcW w:w="143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color w:val="000000"/>
                <w:szCs w:val="21"/>
              </w:rPr>
            </w:pPr>
            <w:r>
              <w:rPr>
                <w:rFonts w:ascii="宋体" w:hAnsi="宋体" w:cs="宋体" w:hint="eastAsia"/>
                <w:color w:val="000000"/>
                <w:szCs w:val="21"/>
              </w:rPr>
              <w:t>1.12</w:t>
            </w:r>
          </w:p>
        </w:tc>
        <w:tc>
          <w:tcPr>
            <w:tcW w:w="1363"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bl>
    <w:p w:rsidR="001B06F0" w:rsidRDefault="00BE7D96">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1B06F0" w:rsidRDefault="00BE7D96">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1B06F0" w:rsidRDefault="00BE7D96">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1B06F0">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1B06F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1B06F0">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r>
      <w:tr w:rsidR="001B06F0">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r>
    </w:tbl>
    <w:p w:rsidR="001B06F0" w:rsidRDefault="00BE7D96">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1B06F0">
      <w:pPr>
        <w:rPr>
          <w:rFonts w:ascii="宋体" w:hAnsi="宋体" w:cs="宋体"/>
          <w:szCs w:val="21"/>
        </w:rPr>
      </w:pPr>
    </w:p>
    <w:p w:rsidR="001B06F0" w:rsidRDefault="00BE7D96">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1B06F0" w:rsidRDefault="00BE7D96">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rsidR="001B06F0" w:rsidRDefault="00BE7D96">
      <w:pPr>
        <w:rPr>
          <w:rFonts w:ascii="宋体" w:hAnsi="宋体" w:cs="宋体"/>
          <w:b/>
          <w:bCs/>
          <w:szCs w:val="21"/>
        </w:rPr>
      </w:pPr>
      <w:r>
        <w:rPr>
          <w:rFonts w:ascii="宋体" w:hAnsi="宋体" w:cs="宋体" w:hint="eastAsia"/>
          <w:b/>
          <w:bCs/>
          <w:szCs w:val="21"/>
        </w:rPr>
        <w:t>编制部门：杨陵区科学技术协会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1B06F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1B06F0">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1B06F0" w:rsidRDefault="001B06F0">
            <w:pPr>
              <w:jc w:val="center"/>
              <w:rPr>
                <w:rFonts w:ascii="宋体" w:hAnsi="宋体" w:cs="宋体"/>
                <w:b/>
                <w:color w:val="000000"/>
                <w:szCs w:val="21"/>
              </w:rPr>
            </w:pPr>
          </w:p>
        </w:tc>
      </w:tr>
      <w:tr w:rsidR="001B06F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B06F0" w:rsidRDefault="00BE7D96">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BE7D96">
            <w:pPr>
              <w:jc w:val="center"/>
              <w:rPr>
                <w:rFonts w:ascii="宋体" w:hAnsi="宋体" w:cs="宋体"/>
                <w:b/>
                <w:color w:val="000000"/>
                <w:szCs w:val="21"/>
              </w:rPr>
            </w:pPr>
            <w:r>
              <w:rPr>
                <w:rFonts w:ascii="宋体" w:hAnsi="宋体" w:cs="宋体" w:hint="eastAsia"/>
                <w:b/>
                <w:color w:val="000000"/>
                <w:szCs w:val="21"/>
              </w:rPr>
              <w:t>0</w:t>
            </w: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r w:rsidR="001B06F0">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1B06F0" w:rsidRDefault="001B06F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B06F0" w:rsidRDefault="001B06F0">
            <w:pPr>
              <w:jc w:val="right"/>
              <w:rPr>
                <w:rFonts w:ascii="宋体" w:hAnsi="宋体" w:cs="宋体"/>
                <w:color w:val="000000"/>
                <w:szCs w:val="21"/>
              </w:rPr>
            </w:pPr>
          </w:p>
        </w:tc>
      </w:tr>
    </w:tbl>
    <w:p w:rsidR="001B06F0" w:rsidRDefault="00BE7D96">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1B06F0" w:rsidRDefault="001B06F0">
      <w:pPr>
        <w:rPr>
          <w:rFonts w:ascii="宋体" w:hAnsi="宋体" w:cs="宋体"/>
          <w:szCs w:val="21"/>
        </w:rPr>
      </w:pPr>
    </w:p>
    <w:p w:rsidR="001B06F0" w:rsidRDefault="00BE7D96">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 xml:space="preserve">第三部分 2019 </w:t>
      </w:r>
      <w:proofErr w:type="gramStart"/>
      <w:r>
        <w:rPr>
          <w:rFonts w:ascii="黑体" w:eastAsia="黑体" w:hAnsi="宋体" w:hint="eastAsia"/>
          <w:color w:val="000000"/>
          <w:kern w:val="0"/>
          <w:sz w:val="44"/>
          <w:szCs w:val="44"/>
        </w:rPr>
        <w:t>年部门</w:t>
      </w:r>
      <w:proofErr w:type="gramEnd"/>
      <w:r>
        <w:rPr>
          <w:rFonts w:ascii="黑体" w:eastAsia="黑体" w:hAnsi="宋体" w:hint="eastAsia"/>
          <w:color w:val="000000"/>
          <w:kern w:val="0"/>
          <w:sz w:val="44"/>
          <w:szCs w:val="44"/>
        </w:rPr>
        <w:t>决算情况说明</w:t>
      </w:r>
    </w:p>
    <w:p w:rsidR="001B06F0" w:rsidRDefault="001B06F0">
      <w:pPr>
        <w:widowControl/>
        <w:rPr>
          <w:rFonts w:ascii="黑体" w:eastAsia="黑体" w:hAnsi="宋体"/>
          <w:color w:val="000000"/>
          <w:kern w:val="0"/>
          <w:sz w:val="44"/>
          <w:szCs w:val="44"/>
        </w:rPr>
      </w:pP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2019年收入22.23万元，</w:t>
      </w:r>
      <w:proofErr w:type="gramStart"/>
      <w:r>
        <w:rPr>
          <w:rFonts w:ascii="仿宋_GB2312" w:eastAsia="仿宋_GB2312" w:hAnsi="仿宋" w:hint="eastAsia"/>
          <w:sz w:val="32"/>
          <w:szCs w:val="32"/>
        </w:rPr>
        <w:t>无上年对比</w:t>
      </w:r>
      <w:proofErr w:type="gramEnd"/>
      <w:r>
        <w:rPr>
          <w:rFonts w:ascii="仿宋_GB2312" w:eastAsia="仿宋_GB2312" w:hAnsi="仿宋" w:hint="eastAsia"/>
          <w:sz w:val="32"/>
          <w:szCs w:val="32"/>
        </w:rPr>
        <w:t>数据，主要原因是机构改革，新增单位。</w:t>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noProof/>
          <w:sz w:val="32"/>
          <w:szCs w:val="32"/>
        </w:rPr>
        <w:drawing>
          <wp:inline distT="0" distB="0" distL="0" distR="0">
            <wp:extent cx="5457825" cy="12954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2019年支出22.23万元，</w:t>
      </w:r>
      <w:proofErr w:type="gramStart"/>
      <w:r>
        <w:rPr>
          <w:rFonts w:ascii="仿宋_GB2312" w:eastAsia="仿宋_GB2312" w:hAnsi="仿宋" w:hint="eastAsia"/>
          <w:sz w:val="32"/>
          <w:szCs w:val="32"/>
        </w:rPr>
        <w:t>无上年对比</w:t>
      </w:r>
      <w:proofErr w:type="gramEnd"/>
      <w:r>
        <w:rPr>
          <w:rFonts w:ascii="仿宋_GB2312" w:eastAsia="仿宋_GB2312" w:hAnsi="仿宋" w:hint="eastAsia"/>
          <w:sz w:val="32"/>
          <w:szCs w:val="32"/>
        </w:rPr>
        <w:t>数据，主要原因是机构改革，新增单位。</w:t>
      </w:r>
    </w:p>
    <w:p w:rsidR="001B06F0" w:rsidRDefault="00BE7D96">
      <w:pPr>
        <w:widowControl/>
        <w:ind w:firstLineChars="200" w:firstLine="640"/>
        <w:jc w:val="left"/>
        <w:rPr>
          <w:rFonts w:ascii="黑体" w:eastAsia="黑体" w:hAnsi="黑体"/>
          <w:color w:val="000000"/>
          <w:kern w:val="0"/>
          <w:sz w:val="32"/>
          <w:szCs w:val="32"/>
        </w:rPr>
      </w:pPr>
      <w:r>
        <w:rPr>
          <w:rFonts w:ascii="仿宋_GB2312" w:eastAsia="仿宋_GB2312" w:hAnsi="仿宋" w:hint="eastAsia"/>
          <w:noProof/>
          <w:sz w:val="32"/>
          <w:szCs w:val="32"/>
        </w:rPr>
        <w:drawing>
          <wp:inline distT="0" distB="0" distL="0" distR="0">
            <wp:extent cx="5494655" cy="1247775"/>
            <wp:effectExtent l="19050" t="0" r="1079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1B06F0" w:rsidRDefault="00BE7D96">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22.23</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19.23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 xml:space="preserve">87 </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%；经营收入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3.00</w:t>
      </w:r>
      <w:r>
        <w:rPr>
          <w:rFonts w:ascii="仿宋_GB2312" w:eastAsia="仿宋_GB2312" w:hAnsi="宋体" w:cs="仿宋_GB2312"/>
          <w:color w:val="000000"/>
          <w:kern w:val="0"/>
          <w:sz w:val="32"/>
          <w:szCs w:val="32"/>
        </w:rPr>
        <w:t>元，占</w:t>
      </w:r>
      <w:r>
        <w:rPr>
          <w:rFonts w:ascii="仿宋_GB2312" w:eastAsia="仿宋_GB2312" w:hAnsi="宋体" w:cs="仿宋_GB2312" w:hint="eastAsia"/>
          <w:color w:val="000000"/>
          <w:kern w:val="0"/>
          <w:sz w:val="32"/>
          <w:szCs w:val="32"/>
        </w:rPr>
        <w:t xml:space="preserve">13 </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2019年支出总体情况及无对比，因机构改革新增单位。</w:t>
      </w:r>
    </w:p>
    <w:p w:rsidR="001B06F0" w:rsidRDefault="00BE7D96">
      <w:pPr>
        <w:widowControl/>
        <w:ind w:firstLineChars="200" w:firstLine="420"/>
        <w:jc w:val="left"/>
        <w:rPr>
          <w:rFonts w:ascii="仿宋_GB2312" w:eastAsia="仿宋_GB2312" w:hAnsi="仿宋"/>
          <w:sz w:val="32"/>
          <w:szCs w:val="32"/>
        </w:rPr>
      </w:pPr>
      <w:r>
        <w:rPr>
          <w:noProof/>
        </w:rPr>
        <w:lastRenderedPageBreak/>
        <w:drawing>
          <wp:inline distT="0" distB="0" distL="0" distR="0">
            <wp:extent cx="5353050" cy="263842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06F0" w:rsidRDefault="00BE7D96">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1B06F0" w:rsidRDefault="00BE7D96">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22.23</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9.24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42</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12.99</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%；经营支出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p>
    <w:p w:rsidR="001B06F0" w:rsidRDefault="00BE7D96">
      <w:pPr>
        <w:widowControl/>
        <w:ind w:firstLineChars="200" w:firstLine="420"/>
        <w:jc w:val="left"/>
      </w:pPr>
      <w:r>
        <w:rPr>
          <w:noProof/>
        </w:rPr>
        <w:drawing>
          <wp:inline distT="0" distB="0" distL="0" distR="0">
            <wp:extent cx="5162550" cy="2543175"/>
            <wp:effectExtent l="19050" t="0" r="19050" b="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收入总体情况</w:t>
      </w:r>
      <w:proofErr w:type="gramStart"/>
      <w:r>
        <w:rPr>
          <w:rFonts w:ascii="仿宋_GB2312" w:eastAsia="仿宋_GB2312" w:hAnsi="仿宋" w:hint="eastAsia"/>
          <w:sz w:val="32"/>
          <w:szCs w:val="32"/>
        </w:rPr>
        <w:t>无上年对比</w:t>
      </w:r>
      <w:proofErr w:type="gramEnd"/>
      <w:r>
        <w:rPr>
          <w:rFonts w:ascii="仿宋_GB2312" w:eastAsia="仿宋_GB2312" w:hAnsi="仿宋" w:hint="eastAsia"/>
          <w:sz w:val="32"/>
          <w:szCs w:val="32"/>
        </w:rPr>
        <w:t>数据，主要原因是机构改革，新增单位。</w:t>
      </w:r>
    </w:p>
    <w:p w:rsidR="001B06F0" w:rsidRDefault="00BE7D96">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支出总体情况</w:t>
      </w:r>
      <w:proofErr w:type="gramStart"/>
      <w:r>
        <w:rPr>
          <w:rFonts w:ascii="仿宋_GB2312" w:eastAsia="仿宋_GB2312" w:hAnsi="仿宋" w:hint="eastAsia"/>
          <w:sz w:val="32"/>
          <w:szCs w:val="32"/>
        </w:rPr>
        <w:t>无上年对比</w:t>
      </w:r>
      <w:proofErr w:type="gramEnd"/>
      <w:r>
        <w:rPr>
          <w:rFonts w:ascii="仿宋_GB2312" w:eastAsia="仿宋_GB2312" w:hAnsi="仿宋" w:hint="eastAsia"/>
          <w:sz w:val="32"/>
          <w:szCs w:val="32"/>
        </w:rPr>
        <w:t>数据，主要原因是机构改革，新增单位。</w:t>
      </w: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1B06F0" w:rsidRDefault="00BE7D96">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B06F0" w:rsidRDefault="00BE7D96">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 年财政拨款支出</w:t>
      </w:r>
      <w:r>
        <w:rPr>
          <w:rFonts w:ascii="仿宋_GB2312" w:eastAsia="仿宋_GB2312" w:hAnsi="宋体" w:cs="仿宋_GB2312" w:hint="eastAsia"/>
          <w:color w:val="000000"/>
          <w:kern w:val="0"/>
          <w:sz w:val="32"/>
          <w:szCs w:val="32"/>
        </w:rPr>
        <w:t>19.23</w:t>
      </w:r>
      <w:r>
        <w:rPr>
          <w:rFonts w:ascii="仿宋_GB2312" w:eastAsia="仿宋_GB2312" w:hAnsi="宋体" w:cs="仿宋_GB2312"/>
          <w:color w:val="000000"/>
          <w:kern w:val="0"/>
          <w:sz w:val="32"/>
          <w:szCs w:val="32"/>
        </w:rPr>
        <w:t xml:space="preserve"> 万元，占本年支出合计的</w:t>
      </w:r>
      <w:r>
        <w:rPr>
          <w:rFonts w:ascii="仿宋_GB2312" w:eastAsia="仿宋_GB2312" w:hAnsi="宋体" w:cs="仿宋_GB2312" w:hint="eastAsia"/>
          <w:color w:val="000000"/>
          <w:kern w:val="0"/>
          <w:sz w:val="32"/>
          <w:szCs w:val="32"/>
        </w:rPr>
        <w:t>87</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Pr>
          <w:rFonts w:ascii="仿宋_GB2312" w:eastAsia="仿宋_GB2312" w:hAnsi="宋体" w:cs="仿宋_GB2312" w:hint="eastAsia"/>
          <w:color w:val="000000"/>
          <w:kern w:val="0"/>
          <w:sz w:val="32"/>
          <w:szCs w:val="32"/>
        </w:rPr>
        <w:t>（减少）0</w:t>
      </w:r>
      <w:r>
        <w:rPr>
          <w:rFonts w:ascii="仿宋_GB2312" w:eastAsia="仿宋_GB2312" w:hAnsi="宋体" w:cs="仿宋_GB2312"/>
          <w:color w:val="000000"/>
          <w:kern w:val="0"/>
          <w:sz w:val="32"/>
          <w:szCs w:val="32"/>
        </w:rPr>
        <w:t>万元，增长</w:t>
      </w:r>
      <w:r>
        <w:rPr>
          <w:rFonts w:ascii="仿宋_GB2312" w:eastAsia="仿宋_GB2312" w:hAnsi="宋体" w:cs="仿宋_GB2312" w:hint="eastAsia"/>
          <w:color w:val="000000"/>
          <w:kern w:val="0"/>
          <w:sz w:val="32"/>
          <w:szCs w:val="32"/>
        </w:rPr>
        <w:t>（减少）0</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原因是机构改革，科协为独立一级预算新增单位。</w:t>
      </w:r>
    </w:p>
    <w:p w:rsidR="001B06F0" w:rsidRDefault="00BE7D96">
      <w:pPr>
        <w:widowControl/>
        <w:jc w:val="left"/>
        <w:rPr>
          <w:rFonts w:ascii="仿宋_GB2312" w:eastAsia="仿宋_GB2312" w:hAnsi="宋体" w:cs="仿宋_GB2312"/>
          <w:color w:val="000000"/>
          <w:kern w:val="0"/>
          <w:sz w:val="32"/>
          <w:szCs w:val="32"/>
        </w:rPr>
      </w:pPr>
      <w:r>
        <w:rPr>
          <w:noProof/>
        </w:rPr>
        <w:drawing>
          <wp:inline distT="0" distB="0" distL="0" distR="0">
            <wp:extent cx="5340350" cy="1854200"/>
            <wp:effectExtent l="4445" t="4445" r="8255" b="825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06F0" w:rsidRDefault="00BE7D96">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B06F0" w:rsidRDefault="00BE7D96">
      <w:pPr>
        <w:widowControl/>
        <w:ind w:firstLineChars="200" w:firstLine="640"/>
        <w:jc w:val="left"/>
      </w:pPr>
      <w:r>
        <w:rPr>
          <w:rFonts w:ascii="仿宋_GB2312" w:eastAsia="仿宋_GB2312" w:hAnsi="宋体" w:cs="仿宋_GB2312"/>
          <w:color w:val="000000"/>
          <w:kern w:val="0"/>
          <w:sz w:val="32"/>
          <w:szCs w:val="32"/>
        </w:rPr>
        <w:t>2019 年财政拨款支出年初预算为</w:t>
      </w:r>
      <w:r>
        <w:rPr>
          <w:rFonts w:ascii="仿宋_GB2312" w:eastAsia="仿宋_GB2312" w:hAnsi="宋体" w:cs="仿宋_GB2312" w:hint="eastAsia"/>
          <w:color w:val="000000"/>
          <w:kern w:val="0"/>
          <w:sz w:val="32"/>
          <w:szCs w:val="32"/>
        </w:rPr>
        <w:t>19.5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19.23</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1B06F0" w:rsidRDefault="00BE7D96">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科学技术</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科学技术管理事务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其他科学技术管理事务支出</w:t>
      </w:r>
      <w:r>
        <w:rPr>
          <w:rFonts w:ascii="仿宋_GB2312" w:eastAsia="仿宋_GB2312" w:hAnsi="宋体" w:cs="仿宋_GB2312"/>
          <w:b/>
          <w:color w:val="000000"/>
          <w:kern w:val="0"/>
          <w:sz w:val="32"/>
          <w:szCs w:val="32"/>
        </w:rPr>
        <w:t xml:space="preserve">（项）。 </w:t>
      </w:r>
    </w:p>
    <w:p w:rsidR="001B06F0" w:rsidRDefault="00BE7D96">
      <w:pPr>
        <w:widowControl/>
        <w:ind w:firstLineChars="200" w:firstLine="640"/>
        <w:jc w:val="left"/>
        <w:rPr>
          <w:rFonts w:ascii="仿宋_GB2312" w:eastAsia="仿宋_GB2312" w:hAnsi="宋体" w:cs="仿宋_GB2312"/>
          <w:bCs/>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9.5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9.24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97.26</w:t>
      </w:r>
      <w:r>
        <w:rPr>
          <w:rFonts w:ascii="仿宋_GB2312" w:eastAsia="仿宋_GB2312" w:hAnsi="宋体" w:cs="仿宋_GB2312"/>
          <w:color w:val="000000"/>
          <w:kern w:val="0"/>
          <w:sz w:val="32"/>
          <w:szCs w:val="32"/>
        </w:rPr>
        <w:t>%。</w:t>
      </w:r>
      <w:r>
        <w:rPr>
          <w:rFonts w:ascii="仿宋_GB2312" w:eastAsia="仿宋_GB2312" w:hAnsi="宋体" w:cs="仿宋_GB2312"/>
          <w:bCs/>
          <w:color w:val="000000"/>
          <w:kern w:val="0"/>
          <w:sz w:val="32"/>
          <w:szCs w:val="32"/>
        </w:rPr>
        <w:t>决算数</w:t>
      </w:r>
      <w:r>
        <w:rPr>
          <w:rFonts w:ascii="仿宋_GB2312" w:eastAsia="仿宋_GB2312" w:hAnsi="宋体" w:cs="仿宋_GB2312" w:hint="eastAsia"/>
          <w:bCs/>
          <w:color w:val="000000"/>
          <w:kern w:val="0"/>
          <w:sz w:val="32"/>
          <w:szCs w:val="32"/>
        </w:rPr>
        <w:t>与</w:t>
      </w:r>
      <w:r>
        <w:rPr>
          <w:rFonts w:ascii="仿宋_GB2312" w:eastAsia="仿宋_GB2312" w:hAnsi="宋体" w:cs="仿宋_GB2312"/>
          <w:bCs/>
          <w:color w:val="000000"/>
          <w:kern w:val="0"/>
          <w:sz w:val="32"/>
          <w:szCs w:val="32"/>
        </w:rPr>
        <w:t>预算数</w:t>
      </w:r>
      <w:r>
        <w:rPr>
          <w:rFonts w:ascii="仿宋_GB2312" w:eastAsia="仿宋_GB2312" w:hAnsi="宋体" w:cs="仿宋_GB2312" w:hint="eastAsia"/>
          <w:bCs/>
          <w:color w:val="000000"/>
          <w:kern w:val="0"/>
          <w:sz w:val="32"/>
          <w:szCs w:val="32"/>
        </w:rPr>
        <w:t>基本持平。</w:t>
      </w:r>
    </w:p>
    <w:p w:rsidR="001B06F0" w:rsidRDefault="00BE7D96">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lastRenderedPageBreak/>
        <w:t>2</w:t>
      </w:r>
      <w:r>
        <w:rPr>
          <w:rFonts w:ascii="仿宋_GB2312" w:eastAsia="仿宋_GB2312" w:hAnsi="宋体" w:cs="仿宋_GB2312"/>
          <w:b/>
          <w:color w:val="000000"/>
          <w:kern w:val="0"/>
          <w:sz w:val="32"/>
          <w:szCs w:val="32"/>
        </w:rPr>
        <w:t>.</w:t>
      </w:r>
      <w:r>
        <w:rPr>
          <w:rFonts w:ascii="仿宋_GB2312" w:eastAsia="仿宋_GB2312" w:hAnsi="宋体" w:cs="仿宋_GB2312" w:hint="eastAsia"/>
          <w:b/>
          <w:color w:val="000000"/>
          <w:kern w:val="0"/>
          <w:sz w:val="32"/>
          <w:szCs w:val="32"/>
        </w:rPr>
        <w:t>科学技术</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科学技术普及</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其他科学技术普及支出</w:t>
      </w:r>
      <w:r>
        <w:rPr>
          <w:rFonts w:ascii="仿宋_GB2312" w:eastAsia="仿宋_GB2312" w:hAnsi="宋体" w:cs="仿宋_GB2312"/>
          <w:b/>
          <w:color w:val="000000"/>
          <w:kern w:val="0"/>
          <w:sz w:val="32"/>
          <w:szCs w:val="32"/>
        </w:rPr>
        <w:t>（项）。</w:t>
      </w:r>
    </w:p>
    <w:p w:rsidR="001B06F0" w:rsidRDefault="00BE7D96">
      <w:pPr>
        <w:widowControl/>
        <w:ind w:firstLineChars="200" w:firstLine="640"/>
        <w:jc w:val="left"/>
        <w:rPr>
          <w:rFonts w:ascii="仿宋_GB2312" w:eastAsia="仿宋_GB2312" w:hAnsi="宋体" w:cs="仿宋_GB2312"/>
          <w:b/>
          <w:bCs/>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9.99</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99.9</w:t>
      </w:r>
      <w:r>
        <w:rPr>
          <w:rFonts w:ascii="仿宋_GB2312" w:eastAsia="仿宋_GB2312" w:hAnsi="宋体" w:cs="仿宋_GB2312"/>
          <w:color w:val="000000"/>
          <w:kern w:val="0"/>
          <w:sz w:val="32"/>
          <w:szCs w:val="32"/>
        </w:rPr>
        <w:t>%。</w:t>
      </w:r>
      <w:r>
        <w:rPr>
          <w:rFonts w:ascii="仿宋_GB2312" w:eastAsia="仿宋_GB2312" w:hAnsi="宋体" w:cs="仿宋_GB2312"/>
          <w:bCs/>
          <w:color w:val="000000"/>
          <w:kern w:val="0"/>
          <w:sz w:val="32"/>
          <w:szCs w:val="32"/>
        </w:rPr>
        <w:t>决算数</w:t>
      </w:r>
      <w:r>
        <w:rPr>
          <w:rFonts w:ascii="仿宋_GB2312" w:eastAsia="仿宋_GB2312" w:hAnsi="宋体" w:cs="仿宋_GB2312" w:hint="eastAsia"/>
          <w:bCs/>
          <w:color w:val="000000"/>
          <w:kern w:val="0"/>
          <w:sz w:val="32"/>
          <w:szCs w:val="32"/>
        </w:rPr>
        <w:t>与</w:t>
      </w:r>
      <w:r>
        <w:rPr>
          <w:rFonts w:ascii="仿宋_GB2312" w:eastAsia="仿宋_GB2312" w:hAnsi="宋体" w:cs="仿宋_GB2312"/>
          <w:bCs/>
          <w:color w:val="000000"/>
          <w:kern w:val="0"/>
          <w:sz w:val="32"/>
          <w:szCs w:val="32"/>
        </w:rPr>
        <w:t>预算数</w:t>
      </w:r>
      <w:r>
        <w:rPr>
          <w:rFonts w:ascii="仿宋_GB2312" w:eastAsia="仿宋_GB2312" w:hAnsi="宋体" w:cs="仿宋_GB2312" w:hint="eastAsia"/>
          <w:bCs/>
          <w:color w:val="000000"/>
          <w:kern w:val="0"/>
          <w:sz w:val="32"/>
          <w:szCs w:val="32"/>
        </w:rPr>
        <w:t>基本持平。</w:t>
      </w:r>
    </w:p>
    <w:p w:rsidR="001B06F0" w:rsidRDefault="00BE7D96">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1B06F0" w:rsidRDefault="00BE7D96">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9.24</w:t>
      </w:r>
      <w:r>
        <w:rPr>
          <w:rFonts w:ascii="仿宋_GB2312" w:eastAsia="仿宋_GB2312" w:hAnsi="仿宋_GB2312" w:cs="仿宋_GB2312"/>
          <w:color w:val="000000"/>
          <w:kern w:val="0"/>
          <w:sz w:val="31"/>
          <w:szCs w:val="31"/>
        </w:rPr>
        <w:t>万元，包括：人员经费支</w:t>
      </w:r>
      <w:r>
        <w:rPr>
          <w:rFonts w:ascii="仿宋_GB2312" w:eastAsia="仿宋_GB2312" w:hAnsi="仿宋_GB2312" w:cs="仿宋_GB2312"/>
          <w:bCs/>
          <w:color w:val="000000"/>
          <w:kern w:val="0"/>
          <w:sz w:val="31"/>
          <w:szCs w:val="31"/>
        </w:rPr>
        <w:t>出</w:t>
      </w:r>
      <w:r>
        <w:rPr>
          <w:rFonts w:ascii="仿宋_GB2312" w:eastAsia="仿宋_GB2312" w:hAnsi="仿宋_GB2312" w:cs="仿宋_GB2312" w:hint="eastAsia"/>
          <w:bCs/>
          <w:color w:val="000000"/>
          <w:kern w:val="0"/>
          <w:sz w:val="31"/>
          <w:szCs w:val="31"/>
        </w:rPr>
        <w:t>9.24</w:t>
      </w:r>
      <w:r>
        <w:rPr>
          <w:rFonts w:ascii="仿宋_GB2312" w:eastAsia="仿宋_GB2312" w:hAnsi="仿宋_GB2312" w:cs="仿宋_GB2312"/>
          <w:bCs/>
          <w:color w:val="000000"/>
          <w:kern w:val="0"/>
          <w:sz w:val="31"/>
          <w:szCs w:val="31"/>
        </w:rPr>
        <w:t>万元。</w:t>
      </w:r>
    </w:p>
    <w:p w:rsidR="001B06F0" w:rsidRDefault="00BE7D96">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9.24</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基本工资</w:t>
      </w:r>
      <w:r>
        <w:rPr>
          <w:rFonts w:ascii="仿宋_GB2312" w:eastAsia="仿宋_GB2312" w:hAnsi="宋体" w:cs="仿宋_GB2312" w:hint="eastAsia"/>
          <w:color w:val="000000"/>
          <w:kern w:val="0"/>
          <w:sz w:val="32"/>
          <w:szCs w:val="32"/>
        </w:rPr>
        <w:t>3.26万元；津贴补贴1.78万元；伙食补助0.18；绩效工资1.96万元；机关事业单位基本养老保险缴费0.93万元；奖励金0.01万元；住房公积金1.12万元。</w:t>
      </w:r>
    </w:p>
    <w:p w:rsidR="001B06F0" w:rsidRDefault="00BE7D96">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1B06F0" w:rsidRDefault="00BE7D96">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1B06F0" w:rsidRDefault="00BE7D96">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w:t>
      </w:r>
    </w:p>
    <w:p w:rsidR="001B06F0" w:rsidRDefault="00BE7D96">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B06F0" w:rsidRDefault="00BE7D96">
      <w:pPr>
        <w:widowControl/>
        <w:ind w:firstLineChars="200" w:firstLine="640"/>
        <w:jc w:val="left"/>
      </w:pPr>
      <w:r>
        <w:rPr>
          <w:rFonts w:ascii="仿宋_GB2312" w:eastAsia="仿宋_GB2312" w:hAnsi="宋体" w:cs="仿宋_GB2312"/>
          <w:color w:val="000000"/>
          <w:kern w:val="0"/>
          <w:sz w:val="32"/>
          <w:szCs w:val="32"/>
        </w:rPr>
        <w:lastRenderedPageBreak/>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费支出0万元，占100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%。具体情况如下：</w:t>
      </w:r>
    </w:p>
    <w:p w:rsidR="001B06F0" w:rsidRDefault="00BE7D96">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1B06F0" w:rsidRDefault="00BE7D96">
      <w:pPr>
        <w:widowControl/>
        <w:ind w:firstLineChars="200" w:firstLine="640"/>
        <w:jc w:val="left"/>
      </w:pPr>
      <w:r>
        <w:rPr>
          <w:rFonts w:ascii="仿宋_GB2312" w:eastAsia="仿宋_GB2312" w:hAnsi="仿宋" w:hint="eastAsia"/>
          <w:sz w:val="32"/>
          <w:szCs w:val="32"/>
        </w:rPr>
        <w:t>2019年因公出国（境）团组</w:t>
      </w:r>
      <w:r>
        <w:rPr>
          <w:rFonts w:ascii="仿宋_GB2312" w:eastAsia="仿宋_GB2312" w:hAnsi="仿宋_GB2312" w:cs="仿宋_GB2312" w:hint="eastAsia"/>
          <w:sz w:val="32"/>
          <w:szCs w:val="32"/>
        </w:rPr>
        <w:t>0个，0人次，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预算，无因公出国（境）支出。</w:t>
      </w:r>
    </w:p>
    <w:p w:rsidR="001B06F0" w:rsidRDefault="00BE7D96">
      <w:pPr>
        <w:widowControl/>
        <w:ind w:firstLineChars="200" w:firstLine="420"/>
        <w:jc w:val="left"/>
        <w:rPr>
          <w:rFonts w:ascii="仿宋_GB2312" w:eastAsia="仿宋_GB2312" w:hAnsi="宋体" w:cs="仿宋_GB2312"/>
          <w:color w:val="000000"/>
          <w:kern w:val="0"/>
          <w:sz w:val="32"/>
          <w:szCs w:val="32"/>
        </w:rPr>
      </w:pPr>
      <w:r>
        <w:rPr>
          <w:noProof/>
        </w:rPr>
        <w:drawing>
          <wp:inline distT="0" distB="0" distL="0" distR="0">
            <wp:extent cx="5162550" cy="1769110"/>
            <wp:effectExtent l="4445" t="4445" r="14605"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06F0" w:rsidRDefault="00BE7D96">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1B06F0" w:rsidRDefault="00BE7D96">
      <w:pPr>
        <w:widowControl/>
        <w:ind w:firstLineChars="200" w:firstLine="640"/>
        <w:jc w:val="left"/>
      </w:pPr>
      <w:r>
        <w:rPr>
          <w:rFonts w:ascii="仿宋_GB2312" w:eastAsia="仿宋_GB2312" w:hAnsi="仿宋" w:hint="eastAsia"/>
          <w:sz w:val="32"/>
          <w:szCs w:val="32"/>
        </w:rPr>
        <w:t>2019年购置车辆</w:t>
      </w:r>
      <w:r>
        <w:rPr>
          <w:rFonts w:ascii="仿宋_GB2312" w:eastAsia="仿宋_GB2312" w:hAnsi="仿宋_GB2312" w:cs="仿宋_GB2312" w:hint="eastAsia"/>
          <w:sz w:val="32"/>
          <w:szCs w:val="32"/>
        </w:rPr>
        <w:t>0台（如没有支出填0），</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预算，公务用车购置费用支出</w:t>
      </w:r>
      <w:r>
        <w:rPr>
          <w:rFonts w:ascii="仿宋_GB2312" w:eastAsia="仿宋_GB2312" w:hAnsi="仿宋" w:hint="eastAsia"/>
          <w:b/>
          <w:bCs/>
          <w:sz w:val="32"/>
          <w:szCs w:val="32"/>
        </w:rPr>
        <w:t>。</w:t>
      </w:r>
    </w:p>
    <w:p w:rsidR="001B06F0" w:rsidRDefault="001B06F0">
      <w:pPr>
        <w:widowControl/>
        <w:ind w:firstLineChars="200" w:firstLine="640"/>
        <w:jc w:val="left"/>
        <w:rPr>
          <w:rFonts w:ascii="仿宋_GB2312" w:eastAsia="仿宋_GB2312" w:hAnsi="宋体" w:cs="仿宋_GB2312"/>
          <w:color w:val="000000"/>
          <w:kern w:val="0"/>
          <w:sz w:val="32"/>
          <w:szCs w:val="32"/>
        </w:rPr>
      </w:pPr>
    </w:p>
    <w:p w:rsidR="001B06F0" w:rsidRDefault="00BE7D96">
      <w:pPr>
        <w:widowControl/>
        <w:ind w:firstLineChars="200" w:firstLine="420"/>
        <w:jc w:val="left"/>
        <w:rPr>
          <w:rFonts w:ascii="仿宋_GB2312" w:eastAsia="仿宋_GB2312" w:hAnsi="宋体" w:cs="仿宋_GB2312"/>
          <w:color w:val="000000"/>
          <w:kern w:val="0"/>
          <w:sz w:val="32"/>
          <w:szCs w:val="32"/>
        </w:rPr>
      </w:pPr>
      <w:r>
        <w:rPr>
          <w:noProof/>
        </w:rPr>
        <w:lastRenderedPageBreak/>
        <w:drawing>
          <wp:inline distT="0" distB="0" distL="0" distR="0">
            <wp:extent cx="4603750" cy="1651000"/>
            <wp:effectExtent l="4445" t="4445" r="20955" b="209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06F0" w:rsidRDefault="00BE7D96">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1B06F0" w:rsidRDefault="00BE7D96">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预算，公务用车运行维护费用支出。</w:t>
      </w:r>
    </w:p>
    <w:p w:rsidR="001B06F0" w:rsidRDefault="00BE7D96">
      <w:pPr>
        <w:widowControl/>
        <w:ind w:firstLineChars="200" w:firstLine="420"/>
        <w:jc w:val="left"/>
        <w:rPr>
          <w:rFonts w:ascii="仿宋_GB2312" w:eastAsia="仿宋_GB2312" w:hAnsi="宋体" w:cs="仿宋_GB2312"/>
          <w:color w:val="000000"/>
          <w:kern w:val="0"/>
          <w:sz w:val="32"/>
          <w:szCs w:val="32"/>
        </w:rPr>
      </w:pPr>
      <w:r>
        <w:rPr>
          <w:noProof/>
        </w:rPr>
        <w:drawing>
          <wp:inline distT="0" distB="0" distL="0" distR="0">
            <wp:extent cx="4603750" cy="1651000"/>
            <wp:effectExtent l="4445" t="4445" r="20955" b="2095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06F0" w:rsidRDefault="00BE7D96">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1B06F0" w:rsidRDefault="00BE7D96">
      <w:pPr>
        <w:widowControl/>
        <w:ind w:firstLineChars="200" w:firstLine="640"/>
        <w:jc w:val="left"/>
      </w:pPr>
      <w:r>
        <w:rPr>
          <w:rFonts w:ascii="仿宋_GB2312" w:eastAsia="仿宋_GB2312" w:hAnsi="仿宋" w:hint="eastAsia"/>
          <w:sz w:val="32"/>
          <w:szCs w:val="32"/>
        </w:rPr>
        <w:t>2019年公务接待</w:t>
      </w:r>
      <w:r>
        <w:rPr>
          <w:rFonts w:ascii="仿宋_GB2312" w:eastAsia="仿宋_GB2312" w:hAnsi="仿宋_GB2312" w:cs="仿宋_GB2312" w:hint="eastAsia"/>
          <w:sz w:val="32"/>
          <w:szCs w:val="32"/>
        </w:rPr>
        <w:t>0批次，0人次，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预算，公务接待费支出</w:t>
      </w:r>
      <w:r>
        <w:rPr>
          <w:rFonts w:ascii="仿宋_GB2312" w:eastAsia="仿宋_GB2312" w:hAnsi="仿宋" w:hint="eastAsia"/>
          <w:b/>
          <w:bCs/>
          <w:sz w:val="32"/>
          <w:szCs w:val="32"/>
        </w:rPr>
        <w:t>。</w:t>
      </w:r>
    </w:p>
    <w:p w:rsidR="001B06F0" w:rsidRDefault="00BE7D96">
      <w:pPr>
        <w:widowControl/>
        <w:ind w:firstLineChars="200" w:firstLine="420"/>
        <w:jc w:val="left"/>
        <w:rPr>
          <w:rFonts w:ascii="仿宋_GB2312" w:eastAsia="仿宋_GB2312" w:hAnsi="宋体" w:cs="仿宋_GB2312"/>
          <w:color w:val="000000"/>
          <w:kern w:val="0"/>
          <w:sz w:val="32"/>
          <w:szCs w:val="32"/>
        </w:rPr>
      </w:pPr>
      <w:r>
        <w:rPr>
          <w:noProof/>
        </w:rPr>
        <w:lastRenderedPageBreak/>
        <w:drawing>
          <wp:inline distT="0" distB="0" distL="0" distR="0">
            <wp:extent cx="4603750" cy="1651000"/>
            <wp:effectExtent l="4445" t="4445" r="20955" b="2095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06F0" w:rsidRDefault="00BE7D96">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1B06F0" w:rsidRDefault="00BE7D96">
      <w:pPr>
        <w:pStyle w:val="a3"/>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2019年培训费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预算，无培训费支出。</w:t>
      </w:r>
    </w:p>
    <w:p w:rsidR="001B06F0" w:rsidRDefault="00BE7D96">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1B06F0" w:rsidRDefault="00BE7D96">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机构改革，科协为新增一级预算单位，无三</w:t>
      </w:r>
      <w:proofErr w:type="gramStart"/>
      <w:r>
        <w:rPr>
          <w:rFonts w:ascii="仿宋_GB2312" w:eastAsia="仿宋_GB2312" w:hAnsi="宋体" w:cs="仿宋_GB2312" w:hint="eastAsia"/>
          <w:color w:val="000000"/>
          <w:kern w:val="0"/>
          <w:sz w:val="32"/>
          <w:szCs w:val="32"/>
        </w:rPr>
        <w:t>公经费</w:t>
      </w:r>
      <w:proofErr w:type="gramEnd"/>
      <w:r>
        <w:rPr>
          <w:rFonts w:ascii="仿宋_GB2312" w:eastAsia="仿宋_GB2312" w:hAnsi="宋体" w:cs="仿宋_GB2312" w:hint="eastAsia"/>
          <w:color w:val="000000"/>
          <w:kern w:val="0"/>
          <w:sz w:val="32"/>
          <w:szCs w:val="32"/>
        </w:rPr>
        <w:t>预算，无会议费支出。</w:t>
      </w:r>
    </w:p>
    <w:p w:rsidR="001B06F0" w:rsidRDefault="00BE7D96">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八、政府性基金预算财政拨款收入支出情况说明 </w:t>
      </w:r>
    </w:p>
    <w:p w:rsidR="001B06F0" w:rsidRDefault="00BE7D96">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1B06F0" w:rsidRDefault="00BE7D96">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1B06F0" w:rsidRDefault="00BE7D96">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1B06F0" w:rsidRDefault="00BE7D96">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一级项目</w:t>
      </w:r>
      <w:proofErr w:type="gramEnd"/>
      <w:r>
        <w:rPr>
          <w:rFonts w:ascii="仿宋_GB2312" w:eastAsia="仿宋_GB2312" w:hAnsi="仿宋_GB2312" w:cs="仿宋_GB2312" w:hint="eastAsia"/>
          <w:sz w:val="32"/>
          <w:szCs w:val="32"/>
        </w:rPr>
        <w:t>1个，共涉及资金10万元，占一般公共预算项目支出总额的100%。组</w:t>
      </w:r>
      <w:r>
        <w:rPr>
          <w:rFonts w:ascii="仿宋_GB2312" w:eastAsia="仿宋_GB2312" w:hAnsi="仿宋_GB2312" w:cs="仿宋_GB2312"/>
          <w:color w:val="000000"/>
          <w:kern w:val="0"/>
          <w:sz w:val="31"/>
          <w:szCs w:val="31"/>
        </w:rPr>
        <w:t>织对 2019年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w:t>
      </w:r>
    </w:p>
    <w:p w:rsidR="001B06F0" w:rsidRDefault="00BE7D96">
      <w:pPr>
        <w:widowControl/>
        <w:ind w:firstLineChars="200" w:firstLine="643"/>
        <w:jc w:val="left"/>
        <w:rPr>
          <w:rFonts w:ascii="仿宋_GB2312" w:eastAsia="仿宋_GB2312" w:hAnsi="仿宋_GB2312" w:cs="仿宋_GB2312"/>
          <w:color w:val="000000"/>
          <w:kern w:val="0"/>
          <w:sz w:val="31"/>
          <w:szCs w:val="31"/>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r>
        <w:rPr>
          <w:rFonts w:ascii="仿宋_GB2312" w:eastAsia="仿宋_GB2312" w:hAnsi="仿宋_GB2312" w:cs="仿宋_GB2312"/>
          <w:color w:val="000000"/>
          <w:kern w:val="0"/>
          <w:sz w:val="31"/>
          <w:szCs w:val="31"/>
        </w:rPr>
        <w:t xml:space="preserve"> </w:t>
      </w:r>
    </w:p>
    <w:p w:rsidR="001B06F0" w:rsidRPr="00933613" w:rsidRDefault="00BE7D96">
      <w:pPr>
        <w:ind w:firstLineChars="221" w:firstLine="685"/>
        <w:jc w:val="left"/>
        <w:rPr>
          <w:rFonts w:ascii="仿宋_GB2312" w:eastAsia="仿宋_GB2312" w:hAnsi="仿宋" w:cs="仿宋"/>
          <w:sz w:val="32"/>
          <w:szCs w:val="32"/>
        </w:rPr>
      </w:pPr>
      <w:r>
        <w:rPr>
          <w:rFonts w:ascii="仿宋_GB2312" w:eastAsia="仿宋_GB2312" w:hAnsi="仿宋_GB2312" w:cs="仿宋_GB2312" w:hint="eastAsia"/>
          <w:color w:val="000000"/>
          <w:kern w:val="0"/>
          <w:sz w:val="31"/>
          <w:szCs w:val="31"/>
        </w:rPr>
        <w:t>科普经费</w:t>
      </w:r>
      <w:r>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98</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10</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9.99</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99.9</w:t>
      </w:r>
      <w:r>
        <w:rPr>
          <w:rFonts w:ascii="仿宋_GB2312" w:eastAsia="仿宋_GB2312" w:hAnsi="仿宋_GB2312" w:cs="仿宋_GB2312"/>
          <w:color w:val="000000"/>
          <w:kern w:val="0"/>
          <w:sz w:val="31"/>
          <w:szCs w:val="31"/>
        </w:rPr>
        <w:t>%。主要产出和效果：通过项目实施</w:t>
      </w:r>
      <w:r>
        <w:rPr>
          <w:rFonts w:ascii="仿宋_GB2312" w:eastAsia="仿宋_GB2312" w:hAnsi="仿宋_GB2312" w:cs="仿宋_GB2312" w:hint="eastAsia"/>
          <w:color w:val="000000"/>
          <w:kern w:val="0"/>
          <w:sz w:val="31"/>
          <w:szCs w:val="31"/>
        </w:rPr>
        <w:t>，以科技创新</w:t>
      </w:r>
      <w:r w:rsidRPr="00933613">
        <w:rPr>
          <w:rFonts w:ascii="仿宋_GB2312" w:eastAsia="仿宋_GB2312" w:hAnsi="仿宋" w:cs="仿宋" w:hint="eastAsia"/>
          <w:sz w:val="32"/>
          <w:szCs w:val="32"/>
        </w:rPr>
        <w:t>带动文化创新，激发广大群众“学科学、爱科学、用科学”的热情，启迪创新思维，营造了良好的科技教育氛围。同时推进了杨陵劳务技术服务输出，彰显了杨陵农科品牌。</w:t>
      </w:r>
    </w:p>
    <w:p w:rsidR="001B06F0" w:rsidRDefault="001B06F0">
      <w:pPr>
        <w:spacing w:line="640" w:lineRule="exact"/>
        <w:ind w:firstLine="660"/>
        <w:rPr>
          <w:rFonts w:ascii="仿宋" w:eastAsia="仿宋" w:hAnsi="仿宋" w:cs="仿宋"/>
          <w:sz w:val="32"/>
          <w:szCs w:val="32"/>
        </w:rPr>
      </w:pPr>
    </w:p>
    <w:p w:rsidR="001B06F0" w:rsidRDefault="001B06F0" w:rsidP="00645474">
      <w:pPr>
        <w:widowControl/>
        <w:ind w:firstLineChars="200" w:firstLine="420"/>
        <w:jc w:val="left"/>
        <w:rPr>
          <w:rFonts w:eastAsia="仿宋"/>
          <w:b/>
          <w:bCs/>
        </w:rPr>
      </w:pPr>
    </w:p>
    <w:p w:rsidR="001B06F0" w:rsidRDefault="001B06F0">
      <w:pPr>
        <w:widowControl/>
        <w:jc w:val="left"/>
        <w:rPr>
          <w:rFonts w:ascii="仿宋_GB2312" w:eastAsia="仿宋_GB2312" w:hAnsi="仿宋_GB2312" w:cs="仿宋_GB2312"/>
          <w:b/>
          <w:bCs/>
          <w:color w:val="000000"/>
          <w:kern w:val="0"/>
          <w:sz w:val="31"/>
          <w:szCs w:val="31"/>
        </w:rPr>
      </w:pPr>
    </w:p>
    <w:p w:rsidR="001B06F0" w:rsidRDefault="001B06F0">
      <w:pPr>
        <w:rPr>
          <w:rFonts w:ascii="楷体" w:eastAsia="楷体" w:hAnsi="楷体" w:cs="楷体"/>
          <w:b/>
          <w:bCs/>
          <w:sz w:val="32"/>
          <w:szCs w:val="32"/>
        </w:rPr>
      </w:pPr>
    </w:p>
    <w:p w:rsidR="001B06F0" w:rsidRDefault="001B06F0">
      <w:pPr>
        <w:rPr>
          <w:rFonts w:ascii="楷体" w:eastAsia="楷体" w:hAnsi="楷体" w:cs="楷体"/>
          <w:b/>
          <w:bCs/>
          <w:sz w:val="32"/>
          <w:szCs w:val="32"/>
        </w:rPr>
      </w:pPr>
    </w:p>
    <w:p w:rsidR="001B06F0" w:rsidRDefault="001B06F0">
      <w:pPr>
        <w:rPr>
          <w:rFonts w:ascii="楷体" w:eastAsia="楷体" w:hAnsi="楷体" w:cs="楷体"/>
          <w:sz w:val="32"/>
          <w:szCs w:val="32"/>
        </w:rPr>
      </w:pPr>
    </w:p>
    <w:p w:rsidR="001B06F0" w:rsidRDefault="001B06F0">
      <w:pPr>
        <w:rPr>
          <w:rFonts w:ascii="楷体" w:eastAsia="楷体" w:hAnsi="楷体" w:cs="楷体"/>
          <w:sz w:val="32"/>
          <w:szCs w:val="32"/>
        </w:rPr>
      </w:pPr>
    </w:p>
    <w:p w:rsidR="001B06F0" w:rsidRDefault="001B06F0">
      <w:pPr>
        <w:rPr>
          <w:rFonts w:ascii="楷体" w:eastAsia="楷体" w:hAnsi="楷体" w:cs="楷体"/>
          <w:sz w:val="32"/>
          <w:szCs w:val="32"/>
        </w:rPr>
      </w:pPr>
    </w:p>
    <w:bookmarkStart w:id="0" w:name="_MON_1663918827"/>
    <w:bookmarkEnd w:id="0"/>
    <w:p w:rsidR="001B06F0" w:rsidRDefault="001B06F0">
      <w:pPr>
        <w:widowControl/>
        <w:jc w:val="left"/>
        <w:rPr>
          <w:rFonts w:ascii="楷体" w:eastAsia="楷体" w:hAnsi="楷体" w:cs="楷体"/>
          <w:sz w:val="32"/>
          <w:szCs w:val="32"/>
        </w:rPr>
        <w:sectPr w:rsidR="001B06F0">
          <w:footerReference w:type="default" r:id="rId18"/>
          <w:pgSz w:w="11906" w:h="16838"/>
          <w:pgMar w:top="1985" w:right="1588" w:bottom="2098" w:left="1474" w:header="851" w:footer="992" w:gutter="0"/>
          <w:cols w:space="0"/>
          <w:docGrid w:type="lines" w:linePitch="315"/>
        </w:sectPr>
      </w:pPr>
      <w:r w:rsidRPr="001B06F0">
        <w:rPr>
          <w:rFonts w:ascii="楷体" w:eastAsia="楷体" w:hAnsi="楷体" w:cs="楷体" w:hint="eastAsia"/>
          <w:sz w:val="32"/>
          <w:szCs w:val="32"/>
        </w:rPr>
        <w:object w:dxaOrig="8714" w:dyaOrig="1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36pt" o:ole="">
            <v:imagedata r:id="rId19" o:title=""/>
          </v:shape>
          <o:OLEObject Type="Embed" ProgID="Excel.Sheet.8" ShapeID="_x0000_i1025" DrawAspect="Content" ObjectID="_1664433859" r:id="rId20"/>
        </w:object>
      </w:r>
    </w:p>
    <w:bookmarkStart w:id="1" w:name="_GoBack"/>
    <w:bookmarkStart w:id="2" w:name="_MON_1663997747"/>
    <w:bookmarkEnd w:id="2"/>
    <w:p w:rsidR="001B06F0" w:rsidRDefault="00995DDB" w:rsidP="00645474">
      <w:pPr>
        <w:widowControl/>
        <w:jc w:val="left"/>
        <w:rPr>
          <w:rFonts w:ascii="楷体" w:eastAsia="楷体" w:hAnsi="楷体" w:cs="楷体"/>
          <w:sz w:val="32"/>
          <w:szCs w:val="32"/>
        </w:rPr>
      </w:pPr>
      <w:r w:rsidRPr="001B06F0">
        <w:rPr>
          <w:rFonts w:ascii="楷体" w:eastAsia="楷体" w:hAnsi="楷体" w:cs="楷体" w:hint="eastAsia"/>
          <w:sz w:val="32"/>
          <w:szCs w:val="32"/>
        </w:rPr>
        <w:object w:dxaOrig="15952" w:dyaOrig="12748">
          <v:shape id="_x0000_i1026" type="#_x0000_t75" alt="" style="width:668.25pt;height:574.5pt" o:ole="">
            <v:imagedata r:id="rId21" o:title=""/>
          </v:shape>
          <o:OLEObject Type="Embed" ProgID="Excel.Sheet.8" ShapeID="_x0000_i1026" DrawAspect="Content" ObjectID="_1664433860" r:id="rId22"/>
        </w:object>
      </w:r>
      <w:bookmarkEnd w:id="1"/>
      <w:bookmarkStart w:id="3" w:name="_MON_1664003713"/>
      <w:bookmarkEnd w:id="3"/>
      <w:r w:rsidR="001B06F0" w:rsidRPr="001B06F0">
        <w:rPr>
          <w:rFonts w:ascii="楷体" w:eastAsia="楷体" w:hAnsi="楷体" w:cs="楷体" w:hint="eastAsia"/>
          <w:sz w:val="32"/>
          <w:szCs w:val="32"/>
        </w:rPr>
        <w:object w:dxaOrig="15795" w:dyaOrig="8370">
          <v:shape id="_x0000_i1027" type="#_x0000_t75" style="width:636pt;height:414.75pt" o:ole="">
            <v:imagedata r:id="rId23" o:title=""/>
          </v:shape>
          <o:OLEObject Type="Embed" ProgID="Excel.Sheet.8" ShapeID="_x0000_i1027" DrawAspect="Content" ObjectID="_1664433861" r:id="rId24"/>
        </w:object>
      </w:r>
    </w:p>
    <w:bookmarkStart w:id="4" w:name="_MON_1664003636"/>
    <w:bookmarkEnd w:id="4"/>
    <w:p w:rsidR="001B06F0" w:rsidRDefault="001B06F0">
      <w:pPr>
        <w:widowControl/>
        <w:jc w:val="left"/>
        <w:rPr>
          <w:rFonts w:ascii="楷体" w:eastAsia="楷体" w:hAnsi="楷体" w:cs="楷体"/>
          <w:sz w:val="32"/>
          <w:szCs w:val="32"/>
        </w:rPr>
        <w:sectPr w:rsidR="001B06F0">
          <w:pgSz w:w="16838" w:h="11906" w:orient="landscape"/>
          <w:pgMar w:top="1588" w:right="2098" w:bottom="1474" w:left="1985" w:header="851" w:footer="992" w:gutter="0"/>
          <w:cols w:space="0"/>
          <w:docGrid w:type="lines" w:linePitch="315"/>
        </w:sectPr>
      </w:pPr>
      <w:r w:rsidRPr="001B06F0">
        <w:rPr>
          <w:rFonts w:ascii="楷体" w:eastAsia="楷体" w:hAnsi="楷体" w:cs="楷体" w:hint="eastAsia"/>
          <w:sz w:val="32"/>
          <w:szCs w:val="32"/>
        </w:rPr>
        <w:object w:dxaOrig="15795" w:dyaOrig="8280">
          <v:shape id="_x0000_i1028" type="#_x0000_t75" style="width:648.75pt;height:371.25pt" o:ole="">
            <v:imagedata r:id="rId25" o:title=""/>
          </v:shape>
          <o:OLEObject Type="Embed" ProgID="Excel.Sheet.8" ShapeID="_x0000_i1028" DrawAspect="Content" ObjectID="_1664433862" r:id="rId26"/>
        </w:object>
      </w:r>
    </w:p>
    <w:p w:rsidR="001B06F0" w:rsidRDefault="00BE7D96">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1B06F0" w:rsidRDefault="00BE7D96">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1B06F0" w:rsidRDefault="00BE7D96">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机构改革，科协为新增一级预算单位，年初</w:t>
      </w:r>
      <w:proofErr w:type="gramStart"/>
      <w:r>
        <w:rPr>
          <w:rFonts w:ascii="仿宋_GB2312" w:eastAsia="仿宋_GB2312" w:hAnsi="宋体" w:cs="仿宋_GB2312" w:hint="eastAsia"/>
          <w:color w:val="000000"/>
          <w:kern w:val="0"/>
          <w:sz w:val="32"/>
          <w:szCs w:val="32"/>
        </w:rPr>
        <w:t>无机关</w:t>
      </w:r>
      <w:proofErr w:type="gramEnd"/>
      <w:r>
        <w:rPr>
          <w:rFonts w:ascii="仿宋_GB2312" w:eastAsia="仿宋_GB2312" w:hAnsi="宋体" w:cs="仿宋_GB2312" w:hint="eastAsia"/>
          <w:color w:val="000000"/>
          <w:kern w:val="0"/>
          <w:sz w:val="32"/>
          <w:szCs w:val="32"/>
        </w:rPr>
        <w:t>运行经费预算。</w:t>
      </w:r>
    </w:p>
    <w:p w:rsidR="001B06F0" w:rsidRDefault="00BE7D96">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p>
    <w:p w:rsidR="001B06F0" w:rsidRDefault="00BE7D96">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截至2019年末，本部门机关及所属单位共有车辆0辆；单价50万元以上的通用设备0台（套）；单价100万元以上的专用设备0台（套）。201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年当年购置车辆0辆；购置单价50万元以上的通用设备0台（套）；购置单价100万元以上的专用设备0台（套）。</w:t>
      </w:r>
    </w:p>
    <w:p w:rsidR="001B06F0" w:rsidRDefault="001B06F0">
      <w:pPr>
        <w:widowControl/>
        <w:jc w:val="left"/>
        <w:rPr>
          <w:rFonts w:ascii="黑体" w:eastAsia="黑体" w:hAnsi="宋体"/>
          <w:color w:val="000000"/>
          <w:kern w:val="0"/>
          <w:sz w:val="32"/>
          <w:szCs w:val="32"/>
        </w:rPr>
      </w:pPr>
    </w:p>
    <w:p w:rsidR="001B06F0" w:rsidRDefault="001B06F0">
      <w:pPr>
        <w:widowControl/>
        <w:jc w:val="left"/>
        <w:rPr>
          <w:rFonts w:ascii="黑体" w:eastAsia="黑体" w:hAnsi="宋体"/>
          <w:color w:val="000000"/>
          <w:kern w:val="0"/>
          <w:sz w:val="32"/>
          <w:szCs w:val="32"/>
        </w:rPr>
      </w:pPr>
    </w:p>
    <w:p w:rsidR="001B06F0" w:rsidRDefault="00BE7D96">
      <w:pPr>
        <w:jc w:val="center"/>
        <w:rPr>
          <w:sz w:val="44"/>
          <w:szCs w:val="44"/>
        </w:rPr>
      </w:pPr>
      <w:r>
        <w:rPr>
          <w:rFonts w:ascii="黑体" w:eastAsia="黑体" w:hAnsi="宋体" w:hint="eastAsia"/>
          <w:color w:val="000000"/>
          <w:kern w:val="0"/>
          <w:sz w:val="44"/>
          <w:szCs w:val="44"/>
        </w:rPr>
        <w:t>第四部分 专业名词解释</w:t>
      </w:r>
    </w:p>
    <w:p w:rsidR="001B06F0" w:rsidRDefault="00BE7D9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1B06F0" w:rsidRDefault="00BE7D9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1B06F0" w:rsidRDefault="00BE7D9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1B06F0" w:rsidRDefault="001B06F0">
      <w:pPr>
        <w:rPr>
          <w:rFonts w:ascii="黑体" w:eastAsia="黑体" w:hAnsi="宋体"/>
          <w:color w:val="000000"/>
          <w:kern w:val="0"/>
          <w:sz w:val="44"/>
          <w:szCs w:val="44"/>
        </w:rPr>
      </w:pPr>
    </w:p>
    <w:p w:rsidR="001B06F0" w:rsidRDefault="001B06F0">
      <w:pPr>
        <w:jc w:val="center"/>
        <w:rPr>
          <w:rFonts w:ascii="黑体" w:eastAsia="黑体" w:hAnsi="宋体"/>
          <w:color w:val="000000"/>
          <w:kern w:val="0"/>
          <w:sz w:val="44"/>
          <w:szCs w:val="44"/>
        </w:rPr>
      </w:pPr>
    </w:p>
    <w:p w:rsidR="001B06F0" w:rsidRDefault="001B06F0">
      <w:pPr>
        <w:jc w:val="center"/>
        <w:rPr>
          <w:rFonts w:ascii="黑体" w:eastAsia="黑体" w:hAnsi="宋体"/>
          <w:color w:val="000000"/>
          <w:kern w:val="0"/>
          <w:sz w:val="44"/>
          <w:szCs w:val="44"/>
        </w:rPr>
      </w:pPr>
    </w:p>
    <w:p w:rsidR="001B06F0" w:rsidRDefault="001B06F0">
      <w:pPr>
        <w:rPr>
          <w:rFonts w:ascii="黑体" w:eastAsia="黑体" w:hAnsi="宋体"/>
          <w:color w:val="000000"/>
          <w:kern w:val="0"/>
          <w:sz w:val="44"/>
          <w:szCs w:val="44"/>
        </w:rPr>
      </w:pPr>
    </w:p>
    <w:sectPr w:rsidR="001B06F0" w:rsidSect="001B06F0">
      <w:footerReference w:type="default" r:id="rId27"/>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CD" w:rsidRDefault="00FE44CD" w:rsidP="001B06F0">
      <w:r>
        <w:separator/>
      </w:r>
    </w:p>
  </w:endnote>
  <w:endnote w:type="continuationSeparator" w:id="0">
    <w:p w:rsidR="00FE44CD" w:rsidRDefault="00FE44CD" w:rsidP="001B0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0" w:rsidRDefault="005167B5">
    <w:pPr>
      <w:pStyle w:val="a5"/>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B06F0" w:rsidRDefault="005167B5">
                <w:pPr>
                  <w:pStyle w:val="a5"/>
                </w:pPr>
                <w:r>
                  <w:fldChar w:fldCharType="begin"/>
                </w:r>
                <w:r w:rsidR="00BE7D96">
                  <w:instrText xml:space="preserve"> PAGE  \* MERGEFORMAT </w:instrText>
                </w:r>
                <w:r>
                  <w:fldChar w:fldCharType="separate"/>
                </w:r>
                <w:r w:rsidR="00332C36">
                  <w:rPr>
                    <w:noProof/>
                  </w:rPr>
                  <w:t>28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0" w:rsidRDefault="005167B5">
    <w:pPr>
      <w:pStyle w:val="a5"/>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filled="f" stroked="f" strokeweight=".5pt">
          <v:textbox style="mso-fit-shape-to-text:t" inset="0,0,0,0">
            <w:txbxContent>
              <w:p w:rsidR="001B06F0" w:rsidRDefault="005167B5">
                <w:pPr>
                  <w:pStyle w:val="a5"/>
                </w:pPr>
                <w:r>
                  <w:fldChar w:fldCharType="begin"/>
                </w:r>
                <w:r w:rsidR="00BE7D96">
                  <w:instrText xml:space="preserve"> PAGE  \* MERGEFORMAT </w:instrText>
                </w:r>
                <w:r>
                  <w:fldChar w:fldCharType="separate"/>
                </w:r>
                <w:r w:rsidR="00332C36">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CD" w:rsidRDefault="00FE44CD" w:rsidP="001B06F0">
      <w:r>
        <w:separator/>
      </w:r>
    </w:p>
  </w:footnote>
  <w:footnote w:type="continuationSeparator" w:id="0">
    <w:p w:rsidR="00FE44CD" w:rsidRDefault="00FE44CD" w:rsidP="001B0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AA6038"/>
    <w:rsid w:val="00025A8E"/>
    <w:rsid w:val="00031B9E"/>
    <w:rsid w:val="00033196"/>
    <w:rsid w:val="00045A88"/>
    <w:rsid w:val="00050E89"/>
    <w:rsid w:val="00107C96"/>
    <w:rsid w:val="00146787"/>
    <w:rsid w:val="00164001"/>
    <w:rsid w:val="001B06F0"/>
    <w:rsid w:val="001D7568"/>
    <w:rsid w:val="002424C8"/>
    <w:rsid w:val="002839B7"/>
    <w:rsid w:val="00294330"/>
    <w:rsid w:val="002A7893"/>
    <w:rsid w:val="002F10DF"/>
    <w:rsid w:val="00324BF7"/>
    <w:rsid w:val="00332C36"/>
    <w:rsid w:val="003364E9"/>
    <w:rsid w:val="004058D9"/>
    <w:rsid w:val="00452E2E"/>
    <w:rsid w:val="00465C39"/>
    <w:rsid w:val="00466BDD"/>
    <w:rsid w:val="004B6D6E"/>
    <w:rsid w:val="004D6EEF"/>
    <w:rsid w:val="005167B5"/>
    <w:rsid w:val="00524291"/>
    <w:rsid w:val="00603C9F"/>
    <w:rsid w:val="00624EA7"/>
    <w:rsid w:val="006253EB"/>
    <w:rsid w:val="00645474"/>
    <w:rsid w:val="00667426"/>
    <w:rsid w:val="00713357"/>
    <w:rsid w:val="00752288"/>
    <w:rsid w:val="007B4D15"/>
    <w:rsid w:val="007C30CA"/>
    <w:rsid w:val="008032BC"/>
    <w:rsid w:val="00813F4A"/>
    <w:rsid w:val="008333AB"/>
    <w:rsid w:val="00933613"/>
    <w:rsid w:val="00982409"/>
    <w:rsid w:val="00995DDB"/>
    <w:rsid w:val="009B701C"/>
    <w:rsid w:val="00A030BD"/>
    <w:rsid w:val="00A263B8"/>
    <w:rsid w:val="00A37B73"/>
    <w:rsid w:val="00A4062B"/>
    <w:rsid w:val="00A65F6D"/>
    <w:rsid w:val="00B80654"/>
    <w:rsid w:val="00B951DD"/>
    <w:rsid w:val="00BC62DB"/>
    <w:rsid w:val="00BD6567"/>
    <w:rsid w:val="00BE7D96"/>
    <w:rsid w:val="00CA126A"/>
    <w:rsid w:val="00D31F63"/>
    <w:rsid w:val="00E02431"/>
    <w:rsid w:val="00E1101D"/>
    <w:rsid w:val="00E11A31"/>
    <w:rsid w:val="00E15DDA"/>
    <w:rsid w:val="00E2364E"/>
    <w:rsid w:val="00E23B7C"/>
    <w:rsid w:val="00E50872"/>
    <w:rsid w:val="00E51060"/>
    <w:rsid w:val="00E8111E"/>
    <w:rsid w:val="00EC75D7"/>
    <w:rsid w:val="00F323BD"/>
    <w:rsid w:val="00FA3137"/>
    <w:rsid w:val="00FE44CD"/>
    <w:rsid w:val="00FF2261"/>
    <w:rsid w:val="00FF2E23"/>
    <w:rsid w:val="0129662D"/>
    <w:rsid w:val="013B79AC"/>
    <w:rsid w:val="023844BD"/>
    <w:rsid w:val="03AD40EB"/>
    <w:rsid w:val="064065DC"/>
    <w:rsid w:val="07ED03DA"/>
    <w:rsid w:val="080A5983"/>
    <w:rsid w:val="08C35A1B"/>
    <w:rsid w:val="08DF5F11"/>
    <w:rsid w:val="091929B2"/>
    <w:rsid w:val="095C397E"/>
    <w:rsid w:val="09853B25"/>
    <w:rsid w:val="0A24498C"/>
    <w:rsid w:val="0AF537B9"/>
    <w:rsid w:val="0B7E419D"/>
    <w:rsid w:val="0BF228C5"/>
    <w:rsid w:val="0C796D69"/>
    <w:rsid w:val="0D082E0C"/>
    <w:rsid w:val="0D49526A"/>
    <w:rsid w:val="0D7E56D5"/>
    <w:rsid w:val="0F7A7A4A"/>
    <w:rsid w:val="104F1E6D"/>
    <w:rsid w:val="10A471B9"/>
    <w:rsid w:val="10E16EF0"/>
    <w:rsid w:val="11145083"/>
    <w:rsid w:val="112A5921"/>
    <w:rsid w:val="11BE2DB9"/>
    <w:rsid w:val="122B7489"/>
    <w:rsid w:val="125E2600"/>
    <w:rsid w:val="12AC5C25"/>
    <w:rsid w:val="132E46A0"/>
    <w:rsid w:val="142A6525"/>
    <w:rsid w:val="14411117"/>
    <w:rsid w:val="1586116E"/>
    <w:rsid w:val="16482CAC"/>
    <w:rsid w:val="16497E55"/>
    <w:rsid w:val="169A5F63"/>
    <w:rsid w:val="16C423DF"/>
    <w:rsid w:val="176746AA"/>
    <w:rsid w:val="17B37B78"/>
    <w:rsid w:val="17E362C4"/>
    <w:rsid w:val="182C652A"/>
    <w:rsid w:val="18777874"/>
    <w:rsid w:val="18A06D30"/>
    <w:rsid w:val="18A72B9A"/>
    <w:rsid w:val="18BB4AD7"/>
    <w:rsid w:val="18BD1160"/>
    <w:rsid w:val="1A1E2B70"/>
    <w:rsid w:val="1A5B6B4A"/>
    <w:rsid w:val="1B1010E4"/>
    <w:rsid w:val="1B244B9B"/>
    <w:rsid w:val="1B4A3FDA"/>
    <w:rsid w:val="1B524C98"/>
    <w:rsid w:val="1BC56437"/>
    <w:rsid w:val="1BDF3F8B"/>
    <w:rsid w:val="1C0F39BC"/>
    <w:rsid w:val="1C5E2F73"/>
    <w:rsid w:val="1C693C0F"/>
    <w:rsid w:val="1D6B6B67"/>
    <w:rsid w:val="1D6E0C0D"/>
    <w:rsid w:val="1E031DF1"/>
    <w:rsid w:val="1F553A3C"/>
    <w:rsid w:val="1FCA1051"/>
    <w:rsid w:val="1FD86436"/>
    <w:rsid w:val="20C47FE6"/>
    <w:rsid w:val="20E824D6"/>
    <w:rsid w:val="217343FA"/>
    <w:rsid w:val="221C15BB"/>
    <w:rsid w:val="23160BFB"/>
    <w:rsid w:val="2446640A"/>
    <w:rsid w:val="24857784"/>
    <w:rsid w:val="24922A2D"/>
    <w:rsid w:val="25A45B74"/>
    <w:rsid w:val="26141050"/>
    <w:rsid w:val="26551E4A"/>
    <w:rsid w:val="271278E1"/>
    <w:rsid w:val="288E2995"/>
    <w:rsid w:val="289C4BD2"/>
    <w:rsid w:val="293069DF"/>
    <w:rsid w:val="29381F37"/>
    <w:rsid w:val="295620E5"/>
    <w:rsid w:val="29785A6B"/>
    <w:rsid w:val="29946E3A"/>
    <w:rsid w:val="29B7366F"/>
    <w:rsid w:val="29FA5C08"/>
    <w:rsid w:val="2A2F7701"/>
    <w:rsid w:val="2A704F55"/>
    <w:rsid w:val="2ABC72B9"/>
    <w:rsid w:val="2AC57C0E"/>
    <w:rsid w:val="2AE54BE5"/>
    <w:rsid w:val="2D1F3974"/>
    <w:rsid w:val="2D6079FF"/>
    <w:rsid w:val="2DAC3159"/>
    <w:rsid w:val="2DB52EF2"/>
    <w:rsid w:val="2F29664E"/>
    <w:rsid w:val="2FC1239A"/>
    <w:rsid w:val="31384E39"/>
    <w:rsid w:val="31492C00"/>
    <w:rsid w:val="31AA6038"/>
    <w:rsid w:val="337A3D58"/>
    <w:rsid w:val="33887EE3"/>
    <w:rsid w:val="338D19C1"/>
    <w:rsid w:val="34677C61"/>
    <w:rsid w:val="35D86BEA"/>
    <w:rsid w:val="360B45BF"/>
    <w:rsid w:val="363B3DC4"/>
    <w:rsid w:val="36687FB3"/>
    <w:rsid w:val="3690702A"/>
    <w:rsid w:val="37187A20"/>
    <w:rsid w:val="37252B26"/>
    <w:rsid w:val="37E33B40"/>
    <w:rsid w:val="37E42A23"/>
    <w:rsid w:val="37F72EB3"/>
    <w:rsid w:val="38490E70"/>
    <w:rsid w:val="386B5914"/>
    <w:rsid w:val="3B121AD1"/>
    <w:rsid w:val="3B7E1716"/>
    <w:rsid w:val="3CFD0D2E"/>
    <w:rsid w:val="3D8F23BF"/>
    <w:rsid w:val="3EB26D5E"/>
    <w:rsid w:val="3FA75C62"/>
    <w:rsid w:val="412C2084"/>
    <w:rsid w:val="41603979"/>
    <w:rsid w:val="419466E4"/>
    <w:rsid w:val="41CF436B"/>
    <w:rsid w:val="41F75540"/>
    <w:rsid w:val="42600C55"/>
    <w:rsid w:val="431C24FE"/>
    <w:rsid w:val="44047BBD"/>
    <w:rsid w:val="446A3C9B"/>
    <w:rsid w:val="4569483B"/>
    <w:rsid w:val="4619368A"/>
    <w:rsid w:val="471F2499"/>
    <w:rsid w:val="47723B83"/>
    <w:rsid w:val="48292589"/>
    <w:rsid w:val="48B12BBB"/>
    <w:rsid w:val="491D7178"/>
    <w:rsid w:val="492C4514"/>
    <w:rsid w:val="493320A6"/>
    <w:rsid w:val="49644A64"/>
    <w:rsid w:val="499941AF"/>
    <w:rsid w:val="499F28E8"/>
    <w:rsid w:val="49E2260A"/>
    <w:rsid w:val="4A633BFB"/>
    <w:rsid w:val="4AF750D0"/>
    <w:rsid w:val="4BA973AC"/>
    <w:rsid w:val="4C346D3C"/>
    <w:rsid w:val="4C7128EA"/>
    <w:rsid w:val="4D20394A"/>
    <w:rsid w:val="4D6E0FDF"/>
    <w:rsid w:val="4E460FCA"/>
    <w:rsid w:val="4EE4307A"/>
    <w:rsid w:val="4F6562AA"/>
    <w:rsid w:val="4F787063"/>
    <w:rsid w:val="4FA8277E"/>
    <w:rsid w:val="4FAB3D8C"/>
    <w:rsid w:val="51516223"/>
    <w:rsid w:val="5153143F"/>
    <w:rsid w:val="51B967D4"/>
    <w:rsid w:val="523D6D1C"/>
    <w:rsid w:val="527D6576"/>
    <w:rsid w:val="52E7027E"/>
    <w:rsid w:val="53BE051B"/>
    <w:rsid w:val="54F12DEE"/>
    <w:rsid w:val="56054077"/>
    <w:rsid w:val="560967D2"/>
    <w:rsid w:val="563326E5"/>
    <w:rsid w:val="56B01F52"/>
    <w:rsid w:val="57120F53"/>
    <w:rsid w:val="573C7117"/>
    <w:rsid w:val="577C1711"/>
    <w:rsid w:val="57CB43D5"/>
    <w:rsid w:val="58405014"/>
    <w:rsid w:val="58B83413"/>
    <w:rsid w:val="58E740A4"/>
    <w:rsid w:val="59C12FC0"/>
    <w:rsid w:val="5B811488"/>
    <w:rsid w:val="5B8D564A"/>
    <w:rsid w:val="5BD91A31"/>
    <w:rsid w:val="5D6D252B"/>
    <w:rsid w:val="5D72590E"/>
    <w:rsid w:val="5ED20196"/>
    <w:rsid w:val="602E5A26"/>
    <w:rsid w:val="607F0FD4"/>
    <w:rsid w:val="60BA79E3"/>
    <w:rsid w:val="613B03C2"/>
    <w:rsid w:val="61901804"/>
    <w:rsid w:val="61F066B9"/>
    <w:rsid w:val="638A16D7"/>
    <w:rsid w:val="63B80950"/>
    <w:rsid w:val="64516436"/>
    <w:rsid w:val="65074FBA"/>
    <w:rsid w:val="66B631EC"/>
    <w:rsid w:val="671A7A2B"/>
    <w:rsid w:val="67736517"/>
    <w:rsid w:val="67C57A44"/>
    <w:rsid w:val="68441B23"/>
    <w:rsid w:val="684B4460"/>
    <w:rsid w:val="69031ECF"/>
    <w:rsid w:val="69512523"/>
    <w:rsid w:val="6962650A"/>
    <w:rsid w:val="69A96912"/>
    <w:rsid w:val="6AF64247"/>
    <w:rsid w:val="6B472595"/>
    <w:rsid w:val="6BB551F9"/>
    <w:rsid w:val="6E041A5D"/>
    <w:rsid w:val="6E394F20"/>
    <w:rsid w:val="6E7E166E"/>
    <w:rsid w:val="6F180E99"/>
    <w:rsid w:val="6FB80B67"/>
    <w:rsid w:val="70FE2669"/>
    <w:rsid w:val="71086DB5"/>
    <w:rsid w:val="714E4524"/>
    <w:rsid w:val="71B962C9"/>
    <w:rsid w:val="727D0DB0"/>
    <w:rsid w:val="74F62865"/>
    <w:rsid w:val="75C31473"/>
    <w:rsid w:val="76690832"/>
    <w:rsid w:val="768E69D6"/>
    <w:rsid w:val="769B6D95"/>
    <w:rsid w:val="76EC7B3D"/>
    <w:rsid w:val="77543ED7"/>
    <w:rsid w:val="78A26588"/>
    <w:rsid w:val="78F86791"/>
    <w:rsid w:val="7A0B5742"/>
    <w:rsid w:val="7B2C699D"/>
    <w:rsid w:val="7C3E5E46"/>
    <w:rsid w:val="7C5B5A63"/>
    <w:rsid w:val="7E137E2A"/>
    <w:rsid w:val="7EE759C2"/>
    <w:rsid w:val="7FB27787"/>
    <w:rsid w:val="7FFC0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6F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B06F0"/>
    <w:pPr>
      <w:jc w:val="left"/>
    </w:pPr>
  </w:style>
  <w:style w:type="paragraph" w:styleId="a4">
    <w:name w:val="Balloon Text"/>
    <w:basedOn w:val="a"/>
    <w:link w:val="Char0"/>
    <w:qFormat/>
    <w:rsid w:val="001B06F0"/>
    <w:rPr>
      <w:sz w:val="18"/>
      <w:szCs w:val="18"/>
    </w:rPr>
  </w:style>
  <w:style w:type="paragraph" w:styleId="a5">
    <w:name w:val="footer"/>
    <w:basedOn w:val="a"/>
    <w:qFormat/>
    <w:rsid w:val="001B06F0"/>
    <w:pPr>
      <w:tabs>
        <w:tab w:val="center" w:pos="4153"/>
        <w:tab w:val="right" w:pos="8306"/>
      </w:tabs>
      <w:snapToGrid w:val="0"/>
      <w:jc w:val="left"/>
    </w:pPr>
    <w:rPr>
      <w:sz w:val="18"/>
    </w:rPr>
  </w:style>
  <w:style w:type="paragraph" w:styleId="a6">
    <w:name w:val="header"/>
    <w:basedOn w:val="a"/>
    <w:qFormat/>
    <w:rsid w:val="001B06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1B06F0"/>
    <w:rPr>
      <w:b/>
      <w:bCs/>
    </w:rPr>
  </w:style>
  <w:style w:type="table" w:styleId="a8">
    <w:name w:val="Table Grid"/>
    <w:basedOn w:val="a1"/>
    <w:qFormat/>
    <w:rsid w:val="001B06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1B06F0"/>
    <w:rPr>
      <w:sz w:val="21"/>
      <w:szCs w:val="21"/>
    </w:rPr>
  </w:style>
  <w:style w:type="character" w:customStyle="1" w:styleId="Char">
    <w:name w:val="批注文字 Char"/>
    <w:basedOn w:val="a0"/>
    <w:link w:val="a3"/>
    <w:qFormat/>
    <w:rsid w:val="001B06F0"/>
    <w:rPr>
      <w:rFonts w:ascii="Calibri" w:hAnsi="Calibri" w:cs="黑体"/>
      <w:kern w:val="2"/>
      <w:sz w:val="21"/>
      <w:szCs w:val="24"/>
    </w:rPr>
  </w:style>
  <w:style w:type="character" w:customStyle="1" w:styleId="Char1">
    <w:name w:val="批注主题 Char"/>
    <w:basedOn w:val="Char"/>
    <w:link w:val="a7"/>
    <w:qFormat/>
    <w:rsid w:val="001B06F0"/>
    <w:rPr>
      <w:rFonts w:ascii="Calibri" w:hAnsi="Calibri" w:cs="黑体"/>
      <w:b/>
      <w:bCs/>
      <w:kern w:val="2"/>
      <w:sz w:val="21"/>
      <w:szCs w:val="24"/>
    </w:rPr>
  </w:style>
  <w:style w:type="character" w:customStyle="1" w:styleId="Char0">
    <w:name w:val="批注框文本 Char"/>
    <w:basedOn w:val="a0"/>
    <w:link w:val="a4"/>
    <w:qFormat/>
    <w:rsid w:val="001B06F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oleObject" Target="embeddings/Microsoft_Office_Excel_97-2003____1.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oleObject" Target="embeddings/Microsoft_Office_Excel_97-2003____2.xls"/><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编制人数</c:v>
                </c:pt>
              </c:strCache>
            </c:strRef>
          </c:tx>
          <c:cat>
            <c:strRef>
              <c:f>Sheet1!$A$2:$A$5</c:f>
              <c:strCache>
                <c:ptCount val="3"/>
                <c:pt idx="0">
                  <c:v>行政人员</c:v>
                </c:pt>
                <c:pt idx="1">
                  <c:v>事业人员</c:v>
                </c:pt>
                <c:pt idx="2">
                  <c:v>离退休人员</c:v>
                </c:pt>
              </c:strCache>
            </c:strRef>
          </c:cat>
          <c:val>
            <c:numRef>
              <c:f>Sheet1!$B$2:$B$5</c:f>
              <c:numCache>
                <c:formatCode>General</c:formatCode>
                <c:ptCount val="4"/>
                <c:pt idx="0">
                  <c:v>0</c:v>
                </c:pt>
                <c:pt idx="1">
                  <c:v>3</c:v>
                </c:pt>
              </c:numCache>
            </c:numRef>
          </c:val>
        </c:ser>
        <c:ser>
          <c:idx val="1"/>
          <c:order val="1"/>
          <c:tx>
            <c:strRef>
              <c:f>Sheet1!$C$1</c:f>
              <c:strCache>
                <c:ptCount val="1"/>
                <c:pt idx="0">
                  <c:v>实有人数</c:v>
                </c:pt>
              </c:strCache>
            </c:strRef>
          </c:tx>
          <c:cat>
            <c:strRef>
              <c:f>Sheet1!$A$2:$A$5</c:f>
              <c:strCache>
                <c:ptCount val="3"/>
                <c:pt idx="0">
                  <c:v>行政人员</c:v>
                </c:pt>
                <c:pt idx="1">
                  <c:v>事业人员</c:v>
                </c:pt>
                <c:pt idx="2">
                  <c:v>离退休人员</c:v>
                </c:pt>
              </c:strCache>
            </c:strRef>
          </c:cat>
          <c:val>
            <c:numRef>
              <c:f>Sheet1!$C$2:$C$5</c:f>
              <c:numCache>
                <c:formatCode>General</c:formatCode>
                <c:ptCount val="4"/>
                <c:pt idx="0">
                  <c:v>1</c:v>
                </c:pt>
                <c:pt idx="1">
                  <c:v>1</c:v>
                </c:pt>
                <c:pt idx="2">
                  <c:v>0</c:v>
                </c:pt>
              </c:numCache>
            </c:numRef>
          </c:val>
        </c:ser>
        <c:axId val="242767744"/>
        <c:axId val="242771840"/>
      </c:barChart>
      <c:catAx>
        <c:axId val="2427677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771840"/>
        <c:crosses val="autoZero"/>
        <c:auto val="1"/>
        <c:lblAlgn val="ctr"/>
        <c:lblOffset val="100"/>
      </c:catAx>
      <c:valAx>
        <c:axId val="2427718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767744"/>
        <c:crosses val="autoZero"/>
        <c:crossBetween val="between"/>
      </c:valAx>
    </c:plotArea>
    <c:legend>
      <c:legendPos val="r"/>
      <c:layout>
        <c:manualLayout>
          <c:xMode val="edge"/>
          <c:yMode val="edge"/>
          <c:x val="0.84119234228446604"/>
          <c:y val="0.40900537634408624"/>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300" b="1" i="0" u="none" strike="noStrike" kern="1200" baseline="0">
                <a:solidFill>
                  <a:schemeClr val="tx1"/>
                </a:solidFill>
                <a:latin typeface="+mn-lt"/>
                <a:ea typeface="+mn-ea"/>
                <a:cs typeface="+mn-cs"/>
              </a:defRPr>
            </a:pPr>
            <a:r>
              <a:t>公务接待费用支出情况</a:t>
            </a:r>
          </a:p>
        </c:rich>
      </c:tx>
    </c:title>
    <c:plotArea>
      <c:layout/>
      <c:pieChart>
        <c:varyColors val="1"/>
        <c:ser>
          <c:idx val="0"/>
          <c:order val="0"/>
          <c:tx>
            <c:strRef>
              <c:f>Sheet1!$B$1</c:f>
              <c:strCache>
                <c:ptCount val="1"/>
                <c:pt idx="0">
                  <c:v>公务用车购置费用支出情况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stacked"/>
        <c:ser>
          <c:idx val="0"/>
          <c:order val="0"/>
          <c:tx>
            <c:strRef>
              <c:f>Sheet1!$B$1</c:f>
              <c:strCache>
                <c:ptCount val="1"/>
                <c:pt idx="0">
                  <c:v>系列 1</c:v>
                </c:pt>
              </c:strCache>
            </c:strRef>
          </c:tx>
          <c:cat>
            <c:strRef>
              <c:f>Sheet1!$A$2</c:f>
              <c:strCache>
                <c:ptCount val="1"/>
                <c:pt idx="0">
                  <c:v>2019年收入</c:v>
                </c:pt>
              </c:strCache>
            </c:strRef>
          </c:cat>
          <c:val>
            <c:numRef>
              <c:f>Sheet1!$B$2</c:f>
              <c:numCache>
                <c:formatCode>General</c:formatCode>
                <c:ptCount val="1"/>
                <c:pt idx="0">
                  <c:v>22.23</c:v>
                </c:pt>
              </c:numCache>
            </c:numRef>
          </c:val>
        </c:ser>
        <c:ser>
          <c:idx val="1"/>
          <c:order val="1"/>
          <c:tx>
            <c:strRef>
              <c:f>Sheet1!$C$1</c:f>
              <c:strCache>
                <c:ptCount val="1"/>
                <c:pt idx="0">
                  <c:v>列1</c:v>
                </c:pt>
              </c:strCache>
            </c:strRef>
          </c:tx>
          <c:cat>
            <c:strRef>
              <c:f>Sheet1!$A$2</c:f>
              <c:strCache>
                <c:ptCount val="1"/>
                <c:pt idx="0">
                  <c:v>2019年收入</c:v>
                </c:pt>
              </c:strCache>
            </c:strRef>
          </c:cat>
          <c:val>
            <c:numRef>
              <c:f>Sheet1!$C$2</c:f>
              <c:numCache>
                <c:formatCode>General</c:formatCode>
                <c:ptCount val="1"/>
              </c:numCache>
            </c:numRef>
          </c:val>
        </c:ser>
        <c:ser>
          <c:idx val="2"/>
          <c:order val="2"/>
          <c:tx>
            <c:strRef>
              <c:f>Sheet1!$D$1</c:f>
              <c:strCache>
                <c:ptCount val="1"/>
                <c:pt idx="0">
                  <c:v>列2</c:v>
                </c:pt>
              </c:strCache>
            </c:strRef>
          </c:tx>
          <c:cat>
            <c:strRef>
              <c:f>Sheet1!$A$2</c:f>
              <c:strCache>
                <c:ptCount val="1"/>
                <c:pt idx="0">
                  <c:v>2019年收入</c:v>
                </c:pt>
              </c:strCache>
            </c:strRef>
          </c:cat>
          <c:val>
            <c:numRef>
              <c:f>Sheet1!$D$2</c:f>
              <c:numCache>
                <c:formatCode>General</c:formatCode>
                <c:ptCount val="1"/>
              </c:numCache>
            </c:numRef>
          </c:val>
        </c:ser>
        <c:overlap val="100"/>
        <c:axId val="243048832"/>
        <c:axId val="243050368"/>
      </c:barChart>
      <c:catAx>
        <c:axId val="243048832"/>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3050368"/>
        <c:crosses val="autoZero"/>
        <c:auto val="1"/>
        <c:lblAlgn val="ctr"/>
        <c:lblOffset val="100"/>
      </c:catAx>
      <c:valAx>
        <c:axId val="243050368"/>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3048832"/>
        <c:crosses val="autoZero"/>
        <c:crossBetween val="between"/>
      </c:valAx>
    </c:plotArea>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stacked"/>
        <c:ser>
          <c:idx val="0"/>
          <c:order val="0"/>
          <c:tx>
            <c:strRef>
              <c:f>Sheet1!$B$1</c:f>
              <c:strCache>
                <c:ptCount val="1"/>
                <c:pt idx="0">
                  <c:v>系列 1</c:v>
                </c:pt>
              </c:strCache>
            </c:strRef>
          </c:tx>
          <c:cat>
            <c:strRef>
              <c:f>Sheet1!$A$2</c:f>
              <c:strCache>
                <c:ptCount val="1"/>
                <c:pt idx="0">
                  <c:v>2019年支出</c:v>
                </c:pt>
              </c:strCache>
            </c:strRef>
          </c:cat>
          <c:val>
            <c:numRef>
              <c:f>Sheet1!$B$2</c:f>
              <c:numCache>
                <c:formatCode>General</c:formatCode>
                <c:ptCount val="1"/>
                <c:pt idx="0">
                  <c:v>22.23</c:v>
                </c:pt>
              </c:numCache>
            </c:numRef>
          </c:val>
        </c:ser>
        <c:ser>
          <c:idx val="1"/>
          <c:order val="1"/>
          <c:tx>
            <c:strRef>
              <c:f>Sheet1!$C$1</c:f>
              <c:strCache>
                <c:ptCount val="1"/>
                <c:pt idx="0">
                  <c:v>列1</c:v>
                </c:pt>
              </c:strCache>
            </c:strRef>
          </c:tx>
          <c:cat>
            <c:strRef>
              <c:f>Sheet1!$A$2</c:f>
              <c:strCache>
                <c:ptCount val="1"/>
                <c:pt idx="0">
                  <c:v>2019年支出</c:v>
                </c:pt>
              </c:strCache>
            </c:strRef>
          </c:cat>
          <c:val>
            <c:numRef>
              <c:f>Sheet1!$C$2</c:f>
              <c:numCache>
                <c:formatCode>General</c:formatCode>
                <c:ptCount val="1"/>
              </c:numCache>
            </c:numRef>
          </c:val>
        </c:ser>
        <c:ser>
          <c:idx val="2"/>
          <c:order val="2"/>
          <c:tx>
            <c:strRef>
              <c:f>Sheet1!$D$1</c:f>
              <c:strCache>
                <c:ptCount val="1"/>
                <c:pt idx="0">
                  <c:v>列2</c:v>
                </c:pt>
              </c:strCache>
            </c:strRef>
          </c:tx>
          <c:cat>
            <c:strRef>
              <c:f>Sheet1!$A$2</c:f>
              <c:strCache>
                <c:ptCount val="1"/>
                <c:pt idx="0">
                  <c:v>2019年支出</c:v>
                </c:pt>
              </c:strCache>
            </c:strRef>
          </c:cat>
          <c:val>
            <c:numRef>
              <c:f>Sheet1!$D$2</c:f>
              <c:numCache>
                <c:formatCode>General</c:formatCode>
                <c:ptCount val="1"/>
              </c:numCache>
            </c:numRef>
          </c:val>
        </c:ser>
        <c:overlap val="100"/>
        <c:axId val="242952448"/>
        <c:axId val="242970624"/>
      </c:barChart>
      <c:catAx>
        <c:axId val="242952448"/>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970624"/>
        <c:crosses val="autoZero"/>
        <c:auto val="1"/>
        <c:lblAlgn val="ctr"/>
        <c:lblOffset val="100"/>
      </c:catAx>
      <c:valAx>
        <c:axId val="242970624"/>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952448"/>
        <c:crosses val="autoZero"/>
        <c:crossBetween val="between"/>
      </c:valAx>
    </c:plotArea>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2019年收入合计</c:v>
                </c:pt>
              </c:strCache>
            </c:strRef>
          </c:tx>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19.23</c:v>
                </c:pt>
                <c:pt idx="1">
                  <c:v>0</c:v>
                </c:pt>
                <c:pt idx="2">
                  <c:v>0</c:v>
                </c:pt>
                <c:pt idx="3">
                  <c:v>3</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2019年支出合计</c:v>
                </c:pt>
              </c:strCache>
            </c:strRef>
          </c:tx>
          <c:cat>
            <c:strRef>
              <c:f>Sheet1!$A$2:$A$4</c:f>
              <c:strCache>
                <c:ptCount val="3"/>
                <c:pt idx="0">
                  <c:v>基本支出</c:v>
                </c:pt>
                <c:pt idx="1">
                  <c:v>项目支出</c:v>
                </c:pt>
                <c:pt idx="2">
                  <c:v>经营支出</c:v>
                </c:pt>
              </c:strCache>
            </c:strRef>
          </c:cat>
          <c:val>
            <c:numRef>
              <c:f>Sheet1!$B$2:$B$4</c:f>
              <c:numCache>
                <c:formatCode>General</c:formatCode>
                <c:ptCount val="3"/>
                <c:pt idx="0">
                  <c:v>9.24</c:v>
                </c:pt>
                <c:pt idx="1">
                  <c:v>12.99</c:v>
                </c:pt>
                <c:pt idx="2">
                  <c:v>0</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2018年财政拨款支出</c:v>
                </c:pt>
              </c:strCache>
            </c:strRef>
          </c:tx>
          <c:cat>
            <c:numRef>
              <c:f>Sheet1!$A$2</c:f>
              <c:numCache>
                <c:formatCode>General</c:formatCode>
                <c:ptCount val="1"/>
              </c:numCache>
            </c:numRef>
          </c:cat>
          <c:val>
            <c:numRef>
              <c:f>Sheet1!$B$2</c:f>
              <c:numCache>
                <c:formatCode>General</c:formatCode>
                <c:ptCount val="1"/>
                <c:pt idx="0">
                  <c:v>0</c:v>
                </c:pt>
              </c:numCache>
            </c:numRef>
          </c:val>
        </c:ser>
        <c:ser>
          <c:idx val="1"/>
          <c:order val="1"/>
          <c:tx>
            <c:strRef>
              <c:f>Sheet1!$C$1</c:f>
              <c:strCache>
                <c:ptCount val="1"/>
                <c:pt idx="0">
                  <c:v>2019年财政拨款支出</c:v>
                </c:pt>
              </c:strCache>
            </c:strRef>
          </c:tx>
          <c:cat>
            <c:numRef>
              <c:f>Sheet1!$A$2</c:f>
              <c:numCache>
                <c:formatCode>General</c:formatCode>
                <c:ptCount val="1"/>
              </c:numCache>
            </c:numRef>
          </c:cat>
          <c:val>
            <c:numRef>
              <c:f>Sheet1!$C$2</c:f>
              <c:numCache>
                <c:formatCode>General</c:formatCode>
                <c:ptCount val="1"/>
                <c:pt idx="0">
                  <c:v>19.23</c:v>
                </c:pt>
              </c:numCache>
            </c:numRef>
          </c:val>
        </c:ser>
        <c:ser>
          <c:idx val="2"/>
          <c:order val="2"/>
          <c:tx>
            <c:strRef>
              <c:f>Sheet1!$D$1</c:f>
              <c:strCache>
                <c:ptCount val="1"/>
                <c:pt idx="0">
                  <c:v>2019年总支出</c:v>
                </c:pt>
              </c:strCache>
            </c:strRef>
          </c:tx>
          <c:cat>
            <c:numRef>
              <c:f>Sheet1!$A$2</c:f>
              <c:numCache>
                <c:formatCode>General</c:formatCode>
                <c:ptCount val="1"/>
              </c:numCache>
            </c:numRef>
          </c:cat>
          <c:val>
            <c:numRef>
              <c:f>Sheet1!$D$2</c:f>
              <c:numCache>
                <c:formatCode>General</c:formatCode>
                <c:ptCount val="1"/>
                <c:pt idx="0">
                  <c:v>22.23</c:v>
                </c:pt>
              </c:numCache>
            </c:numRef>
          </c:val>
        </c:ser>
        <c:axId val="245842304"/>
        <c:axId val="245843840"/>
      </c:barChart>
      <c:catAx>
        <c:axId val="245842304"/>
        <c:scaling>
          <c:orientation val="minMax"/>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5843840"/>
        <c:crosses val="autoZero"/>
        <c:auto val="1"/>
        <c:lblAlgn val="ctr"/>
        <c:lblOffset val="100"/>
      </c:catAx>
      <c:valAx>
        <c:axId val="245843840"/>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584230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因公出国（境）支出情况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cat>
            <c:strRef>
              <c:f>Sheet1!$A$2:$A$3</c:f>
              <c:strCache>
                <c:ptCount val="2"/>
                <c:pt idx="0">
                  <c:v>预算数</c:v>
                </c:pt>
                <c:pt idx="1">
                  <c:v>决算数</c:v>
                </c:pt>
              </c:strCache>
            </c:strRef>
          </c:cat>
          <c:val>
            <c:numRef>
              <c:f>Sheet1!$C$2:$C$3</c:f>
              <c:numCache>
                <c:formatCode>General</c:formatCode>
                <c:ptCount val="2"/>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公务用车购置费用支出情况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300" b="1" i="0" u="none" strike="noStrike" kern="1200" baseline="0">
                <a:solidFill>
                  <a:schemeClr val="tx1"/>
                </a:solidFill>
                <a:latin typeface="+mn-lt"/>
                <a:ea typeface="+mn-ea"/>
                <a:cs typeface="+mn-cs"/>
              </a:defRPr>
            </a:pPr>
            <a:r>
              <a:t>公务用车运行维护费用支出情况</a:t>
            </a:r>
          </a:p>
        </c:rich>
      </c:tx>
    </c:title>
    <c:plotArea>
      <c:layout/>
      <c:pieChart>
        <c:varyColors val="1"/>
        <c:ser>
          <c:idx val="0"/>
          <c:order val="0"/>
          <c:tx>
            <c:strRef>
              <c:f>Sheet1!$B$1</c:f>
              <c:strCache>
                <c:ptCount val="1"/>
                <c:pt idx="0">
                  <c:v>公务用车购置费用支出情况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99D77-1C4C-4B30-B72D-AE421A6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31</Pages>
  <Words>1455</Words>
  <Characters>8300</Characters>
  <Application>Microsoft Office Word</Application>
  <DocSecurity>0</DocSecurity>
  <Lines>69</Lines>
  <Paragraphs>19</Paragraphs>
  <ScaleCrop>false</ScaleCrop>
  <Company>微软中国</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李欣</cp:lastModifiedBy>
  <cp:revision>46</cp:revision>
  <cp:lastPrinted>2020-10-13T07:13:00Z</cp:lastPrinted>
  <dcterms:created xsi:type="dcterms:W3CDTF">2020-07-23T09:23:00Z</dcterms:created>
  <dcterms:modified xsi:type="dcterms:W3CDTF">2020-10-17T01:58:00Z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