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委政策研究室</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杨陵区委办公室、杨陵区人民政府办公室关于印发&lt;杨陵区机构改革实施方案&gt;的通知》（杨办字[2019]5号），中共杨陵区委政策研究室（中共杨陵区委全面深化改革委员会办公室）为新设立区委部门。中共杨陵区委政策研究室（以下简称区委政策研究室）是对区委、区政府决策重大问题进行调查研究、提出政策意见的机关，为正科级。中共杨陵区委全面深化改革委员会办公室（以下简称区委全面深化改革委员会办公室）与区委政策研究室合署办公，为正科级。</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区委政策研究室的主要职责是：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绕区域经济社会发展和区委、区政府中心工作，组织力量对全区重大问题进行调查研究，提出前瞻性政策思路、意见建议和工作措施，供区委、区政府决策。</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（二）参与全区经济社会发展重大战略、重大项目等工作的研究和谋划。</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（三）联系对接有关专业机构和智库聘任专家教授，就全区乡村振兴、产业发展、社会治理、党的建设等方面进行咨询和课题研究。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（四）负责组织完成上级党委政研室下达的调研任务等相关工作。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（五）协调、督促、指导全区党政部门和各镇（街道）开展专项调研活动。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（六）完成区委交办的其他工作。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区委全面深化改革委员会办公室的主要职责是：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（一）学习研究中央、省委、示范区党工委全面深化改革委员会关于全面深化改革的决策部署，向区委全面深化改革委员会提出贯彻落实建议。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（二）组织开展全区全面深化改革重大问题的政策研究，提出年度任务目标、重要政策和重大措施等建议。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（三）协调抓好全面深化改革事项的推进落实，统筹协调区委全面深化改革委员会各专项小组、有关方面提出的有关改革工作方案和措施。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（四）总结评估全面深化改革情况，发据典型，推广经验，研究分析倾向性、苗头性问题，向区委全面深化改革委员会提出对策建议。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（五）协调推动、督促检查各专项小组、有关方面落实区委全面深化改革委员会的决定事项、工作部署和要求，并组织实施改革专项考核。</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（六）研究处理区委全面深化改革委员会各专项小组、有关方面提出的重要改革事项及相关请示，向委员会提出建议。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（七）联系有关研究机构和专家学者，就改革重要问题进行研究和咨询。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（八）收集、汇总有关改革问题的信息资料，负责区委全面深化改革委员会的日常工作联络、会议筹备组织、改革资料管理等工作。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（九）完成区委和区委全面深化改革委员会交办的其他事项。</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default" w:ascii="黑体" w:hAnsi="宋体" w:eastAsia="仿宋_GB2312"/>
          <w:color w:val="000000"/>
          <w:kern w:val="0"/>
          <w:sz w:val="32"/>
          <w:szCs w:val="32"/>
          <w:lang w:val="en-US" w:eastAsia="zh-CN" w:bidi="ar"/>
        </w:rPr>
      </w:pPr>
      <w:r>
        <w:rPr>
          <w:rFonts w:hint="eastAsia" w:ascii="仿宋_GB2312" w:hAnsi="仿宋_GB2312" w:eastAsia="仿宋_GB2312" w:cs="仿宋_GB2312"/>
          <w:sz w:val="32"/>
          <w:szCs w:val="32"/>
        </w:rPr>
        <w:t>中共杨陵区委政策研究室</w:t>
      </w:r>
      <w:r>
        <w:rPr>
          <w:rFonts w:hint="eastAsia" w:ascii="仿宋_GB2312" w:hAnsi="仿宋_GB2312" w:eastAsia="仿宋_GB2312" w:cs="仿宋_GB2312"/>
          <w:sz w:val="32"/>
          <w:szCs w:val="32"/>
          <w:lang w:val="en-US" w:eastAsia="zh-CN"/>
        </w:rPr>
        <w:t>内设</w:t>
      </w:r>
      <w:r>
        <w:rPr>
          <w:rFonts w:hint="eastAsia" w:ascii="仿宋_GB2312" w:hAnsi="仿宋_GB2312" w:eastAsia="仿宋_GB2312" w:cs="仿宋_GB2312"/>
          <w:sz w:val="32"/>
          <w:szCs w:val="32"/>
        </w:rPr>
        <w:t>中共杨陵区委政策研究室</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中共杨陵区委全面深化改革委员会办公室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合署办公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中共杨陵区委政策研究室</w:t>
            </w:r>
            <w:r>
              <w:rPr>
                <w:rFonts w:hint="eastAsia" w:ascii="仿宋_GB2312" w:hAnsi="仿宋_GB2312" w:eastAsia="仿宋_GB2312" w:cs="仿宋_GB2312"/>
                <w:sz w:val="32"/>
                <w:szCs w:val="32"/>
              </w:rPr>
              <w:t>部门本级（机关）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widowControl/>
        <w:jc w:val="center"/>
        <w:rPr>
          <w:rFonts w:ascii="黑体" w:hAnsi="宋体" w:eastAsia="黑体"/>
          <w:color w:val="000000"/>
          <w:kern w:val="0"/>
          <w:sz w:val="44"/>
          <w:szCs w:val="44"/>
          <w:lang w:bidi="ar"/>
        </w:rPr>
      </w:pPr>
      <w:r>
        <w:rPr>
          <w:rFonts w:hint="eastAsia"/>
          <w:lang w:val="en-US" w:eastAsia="zh-CN"/>
        </w:rPr>
        <w:t xml:space="preserve">                                     </w:t>
      </w:r>
      <w:r>
        <w:drawing>
          <wp:inline distT="0" distB="0" distL="0" distR="0">
            <wp:extent cx="2990215" cy="3138170"/>
            <wp:effectExtent l="0" t="0" r="635" b="508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5" cstate="print"/>
                    <a:stretch>
                      <a:fillRect/>
                    </a:stretch>
                  </pic:blipFill>
                  <pic:spPr>
                    <a:xfrm>
                      <a:off x="0" y="0"/>
                      <a:ext cx="2990215" cy="3138170"/>
                    </a:xfrm>
                    <a:prstGeom prst="rect">
                      <a:avLst/>
                    </a:prstGeom>
                  </pic:spPr>
                </pic:pic>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highlight w:val="none"/>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本年无发生</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本单位无政府性基金支出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43.71</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43.71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eastAsia="宋体" w:cs="宋体"/>
                <w:b/>
                <w:color w:val="000000"/>
                <w:szCs w:val="21"/>
                <w:lang w:val="en-US" w:eastAsia="zh-CN"/>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43.71</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政府办公厅（室）及相关机构事务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其他政府办公厅（室）及相关机构事务支出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37.70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37.70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43.71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37.70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政府办公厅（室）及相关机构事务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43.71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37.70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其他政府办公厅（室）及相关机构事务支出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37.70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37.70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highlight w:val="none"/>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6.01</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6.01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6.01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6.01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6.01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6.01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2010</w:t>
            </w:r>
            <w:r>
              <w:rPr>
                <w:rFonts w:hint="eastAsia" w:ascii="宋体" w:hAnsi="宋体" w:cs="宋体"/>
                <w:color w:val="000000"/>
                <w:kern w:val="0"/>
                <w:szCs w:val="21"/>
                <w:lang w:val="en-US" w:eastAsia="zh-CN"/>
              </w:rPr>
              <w:t>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w:t>
            </w:r>
            <w:r>
              <w:rPr>
                <w:rFonts w:hint="eastAsia" w:ascii="宋体" w:hAnsi="宋体" w:cs="宋体"/>
                <w:color w:val="000000"/>
                <w:kern w:val="0"/>
                <w:szCs w:val="21"/>
                <w:lang w:val="en-US" w:eastAsia="zh-CN"/>
              </w:rPr>
              <w:t>3</w:t>
            </w:r>
            <w:r>
              <w:rPr>
                <w:rFonts w:hint="eastAsia" w:ascii="宋体" w:hAnsi="宋体" w:cs="宋体"/>
                <w:color w:val="000000"/>
                <w:kern w:val="0"/>
                <w:szCs w:val="21"/>
              </w:rPr>
              <w:t>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w:t>
      </w:r>
      <w:r>
        <w:rPr>
          <w:rFonts w:hint="eastAsia" w:ascii="宋体" w:hAnsi="宋体" w:cs="宋体"/>
          <w:b/>
          <w:bCs/>
          <w:sz w:val="32"/>
          <w:szCs w:val="32"/>
          <w:highlight w:val="none"/>
        </w:rPr>
        <w:t>按经济分类科目</w:t>
      </w:r>
      <w:r>
        <w:rPr>
          <w:rFonts w:hint="eastAsia" w:ascii="宋体" w:hAnsi="宋体" w:cs="宋体"/>
          <w:b/>
          <w:bCs/>
          <w:sz w:val="32"/>
          <w:szCs w:val="32"/>
        </w:rPr>
        <w:t>）</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区委政研室  </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6.01</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6.01</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highlight w:val="none"/>
                <w:lang w:val="en-US"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center"/>
        <w:rPr>
          <w:rFonts w:ascii="宋体" w:hAnsi="宋体" w:cs="宋体"/>
          <w:b/>
          <w:bCs/>
          <w:sz w:val="32"/>
          <w:szCs w:val="32"/>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r>
        <w:rPr>
          <w:rFonts w:hint="eastAsia" w:ascii="宋体" w:hAnsi="宋体" w:cs="宋体"/>
          <w:b/>
          <w:bCs/>
          <w:sz w:val="32"/>
          <w:szCs w:val="32"/>
        </w:rPr>
        <w:br w:type="page"/>
      </w:r>
      <w:r>
        <w:rPr>
          <w:rFonts w:hint="eastAsia" w:ascii="宋体" w:hAnsi="宋体" w:cs="宋体"/>
          <w:b/>
          <w:bCs/>
          <w:sz w:val="32"/>
          <w:szCs w:val="32"/>
        </w:rPr>
        <w:t>一般公共预算财政拨款</w:t>
      </w:r>
      <w:r>
        <w:rPr>
          <w:rFonts w:hint="eastAsia" w:ascii="宋体" w:hAnsi="宋体" w:cs="宋体"/>
          <w:b/>
          <w:bCs/>
          <w:sz w:val="32"/>
          <w:szCs w:val="32"/>
          <w:highlight w:val="none"/>
        </w:rPr>
        <w:t>“三公”经费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区委政研室</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区委政研室</w:t>
      </w:r>
      <w:r>
        <w:rPr>
          <w:rFonts w:hint="eastAsia" w:ascii="仿宋_GB2312" w:hAnsi="仿宋" w:eastAsia="仿宋_GB2312"/>
          <w:sz w:val="32"/>
          <w:szCs w:val="32"/>
        </w:rPr>
        <w:t>2019年收入总体</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w:t>
      </w:r>
      <w:r>
        <w:rPr>
          <w:rFonts w:hint="eastAsia" w:ascii="仿宋_GB2312" w:hAnsi="仿宋" w:eastAsia="仿宋_GB2312"/>
          <w:sz w:val="32"/>
          <w:szCs w:val="32"/>
        </w:rPr>
        <w:t>比上年增长</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元（100%）</w:t>
      </w:r>
      <w:r>
        <w:rPr>
          <w:rFonts w:hint="eastAsia" w:ascii="仿宋_GB2312" w:hAnsi="仿宋" w:eastAsia="仿宋_GB2312"/>
          <w:sz w:val="32"/>
          <w:szCs w:val="32"/>
        </w:rPr>
        <w:t>，原因是区委政研室为2019年9月新单设区委部门。</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区委政研室</w:t>
      </w:r>
      <w:r>
        <w:rPr>
          <w:rFonts w:hint="eastAsia" w:ascii="仿宋_GB2312" w:hAnsi="仿宋" w:eastAsia="仿宋_GB2312"/>
          <w:sz w:val="32"/>
          <w:szCs w:val="32"/>
        </w:rPr>
        <w:t>2019年</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总体</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w:t>
      </w:r>
      <w:r>
        <w:rPr>
          <w:rFonts w:hint="eastAsia" w:ascii="仿宋_GB2312" w:hAnsi="仿宋" w:eastAsia="仿宋_GB2312"/>
          <w:sz w:val="32"/>
          <w:szCs w:val="32"/>
        </w:rPr>
        <w:t>比上年增长</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元（100%）</w:t>
      </w:r>
      <w:r>
        <w:rPr>
          <w:rFonts w:hint="eastAsia" w:ascii="仿宋_GB2312" w:hAnsi="仿宋" w:eastAsia="仿宋_GB2312"/>
          <w:sz w:val="32"/>
          <w:szCs w:val="32"/>
        </w:rPr>
        <w:t>，原因是区委政研室为2019年9月新单设区委部门。</w:t>
      </w:r>
    </w:p>
    <w:p>
      <w:pPr>
        <w:widowControl/>
        <w:jc w:val="left"/>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drawing>
          <wp:inline distT="0" distB="0" distL="114300" distR="114300">
            <wp:extent cx="2090420" cy="2305050"/>
            <wp:effectExtent l="4445" t="4445" r="1968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drawing>
          <wp:inline distT="0" distB="0" distL="114300" distR="114300">
            <wp:extent cx="2165350" cy="2276475"/>
            <wp:effectExtent l="4445" t="5080" r="2095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13.75</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37.70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86.25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pPr>
      <w:r>
        <w:rPr>
          <w:rFonts w:hint="eastAsia" w:ascii="仿宋_GB2312" w:hAnsi="宋体" w:eastAsia="仿宋_GB2312" w:cs="仿宋_GB2312"/>
          <w:color w:val="000000"/>
          <w:kern w:val="0"/>
          <w:sz w:val="32"/>
          <w:szCs w:val="32"/>
          <w:lang w:bidi="ar"/>
        </w:rPr>
        <w:drawing>
          <wp:inline distT="0" distB="0" distL="114300" distR="114300">
            <wp:extent cx="2898140" cy="2390775"/>
            <wp:effectExtent l="4445" t="4445" r="1206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13.75</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37.70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86.25</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drawing>
          <wp:inline distT="0" distB="0" distL="114300" distR="114300">
            <wp:extent cx="2898140" cy="2390775"/>
            <wp:effectExtent l="4445" t="4445" r="1206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区委政研室</w:t>
      </w: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收入总体</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w:t>
      </w:r>
      <w:r>
        <w:rPr>
          <w:rFonts w:hint="eastAsia" w:ascii="仿宋_GB2312" w:hAnsi="仿宋" w:eastAsia="仿宋_GB2312"/>
          <w:sz w:val="32"/>
          <w:szCs w:val="32"/>
        </w:rPr>
        <w:t>比上年增长</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元（100%）</w:t>
      </w:r>
      <w:r>
        <w:rPr>
          <w:rFonts w:hint="eastAsia" w:ascii="仿宋_GB2312" w:hAnsi="仿宋" w:eastAsia="仿宋_GB2312"/>
          <w:sz w:val="32"/>
          <w:szCs w:val="32"/>
        </w:rPr>
        <w:t>，原因是区委政研室为2019年9月新单设区委部门。</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区委政研室</w:t>
      </w: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总体</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w:t>
      </w:r>
      <w:r>
        <w:rPr>
          <w:rFonts w:hint="eastAsia" w:ascii="仿宋_GB2312" w:hAnsi="仿宋" w:eastAsia="仿宋_GB2312"/>
          <w:sz w:val="32"/>
          <w:szCs w:val="32"/>
        </w:rPr>
        <w:t>比上年增长</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w:t>
      </w:r>
      <w:r>
        <w:rPr>
          <w:rFonts w:hint="eastAsia" w:ascii="仿宋_GB2312" w:hAnsi="仿宋" w:eastAsia="仿宋_GB2312"/>
          <w:sz w:val="32"/>
          <w:szCs w:val="32"/>
          <w:lang w:val="en-US" w:eastAsia="zh-CN"/>
        </w:rPr>
        <w:t>元（100%）</w:t>
      </w:r>
      <w:r>
        <w:rPr>
          <w:rFonts w:hint="eastAsia" w:ascii="仿宋_GB2312" w:hAnsi="仿宋" w:eastAsia="仿宋_GB2312"/>
          <w:sz w:val="32"/>
          <w:szCs w:val="32"/>
        </w:rPr>
        <w:t>，原因是区委政研室为2019年9月新单设区委部门。</w:t>
      </w:r>
    </w:p>
    <w:p>
      <w:pPr>
        <w:widowControl/>
        <w:jc w:val="left"/>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drawing>
          <wp:inline distT="0" distB="0" distL="114300" distR="114300">
            <wp:extent cx="2090420" cy="2305050"/>
            <wp:effectExtent l="0" t="0" r="508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drawing>
          <wp:inline distT="0" distB="0" distL="114300" distR="114300">
            <wp:extent cx="2165350" cy="2276475"/>
            <wp:effectExtent l="4445" t="5080" r="20955" b="44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仿宋_GB2312" w:hAnsi="仿宋_GB2312" w:eastAsia="仿宋_GB2312" w:cs="仿宋_GB2312"/>
          <w:sz w:val="32"/>
          <w:szCs w:val="32"/>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13.75</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原因是区委政研室为2019年9月新单设区委部门</w:t>
      </w:r>
      <w:r>
        <w:rPr>
          <w:rFonts w:hint="eastAsia" w:ascii="仿宋_GB2312" w:hAnsi="宋体" w:eastAsia="仿宋_GB2312" w:cs="仿宋_GB2312"/>
          <w:color w:val="000000"/>
          <w:kern w:val="0"/>
          <w:sz w:val="32"/>
          <w:szCs w:val="32"/>
          <w:lang w:eastAsia="zh-CN" w:bidi="ar"/>
        </w:rPr>
        <w:t>。</w:t>
      </w:r>
      <w:bookmarkStart w:id="0" w:name="_GoBack"/>
      <w:bookmarkEnd w:id="0"/>
    </w:p>
    <w:p>
      <w:pPr>
        <w:widowControl/>
        <w:ind w:firstLine="640" w:firstLineChars="200"/>
        <w:jc w:val="left"/>
      </w:pPr>
      <w:r>
        <w:rPr>
          <w:rFonts w:hint="eastAsia" w:ascii="仿宋_GB2312" w:hAnsi="仿宋" w:eastAsia="仿宋_GB2312"/>
          <w:sz w:val="32"/>
          <w:szCs w:val="32"/>
          <w:lang w:eastAsia="zh-CN"/>
        </w:rPr>
        <w:drawing>
          <wp:inline distT="0" distB="0" distL="114300" distR="114300">
            <wp:extent cx="2308860" cy="2118360"/>
            <wp:effectExtent l="4445" t="4445" r="10795" b="107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 xml:space="preserve">1.一般公共服务支出（类）财政事务（款）行政运行（项）。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6.01</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6.01</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6.01</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6.01</w:t>
      </w:r>
      <w:r>
        <w:rPr>
          <w:rFonts w:hint="eastAsia" w:ascii="仿宋_GB2312" w:hAnsi="宋体" w:eastAsia="仿宋_GB2312" w:cs="仿宋_GB2312"/>
          <w:color w:val="000000"/>
          <w:kern w:val="0"/>
          <w:sz w:val="32"/>
          <w:szCs w:val="32"/>
          <w:lang w:bidi="ar"/>
        </w:rPr>
        <w:t>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示例：2019年因公出国（境）团组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台（如没有支出填0），</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区委政研室为2019年9月新单设区委部门</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37.7</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86.25</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（分项目进行自评综述）</w:t>
      </w:r>
      <w:r>
        <w:rPr>
          <w:rFonts w:ascii="仿宋_GB2312" w:hAnsi="仿宋_GB2312" w:eastAsia="仿宋_GB2312" w:cs="仿宋_GB2312"/>
          <w:color w:val="000000"/>
          <w:kern w:val="0"/>
          <w:sz w:val="31"/>
          <w:szCs w:val="31"/>
          <w:lang w:bidi="ar"/>
        </w:rPr>
        <w:t xml:space="preserve"> </w:t>
      </w:r>
    </w:p>
    <w:p>
      <w:pPr>
        <w:widowControl/>
        <w:ind w:firstLine="620" w:firstLineChars="200"/>
        <w:jc w:val="left"/>
        <w:rPr>
          <w:rFonts w:ascii="楷体" w:hAnsi="楷体" w:eastAsia="楷体" w:cs="楷体"/>
          <w:sz w:val="32"/>
          <w:szCs w:val="32"/>
        </w:rPr>
      </w:pPr>
      <w:r>
        <w:rPr>
          <w:rFonts w:hint="eastAsia" w:ascii="仿宋_GB2312" w:hAnsi="仿宋_GB2312" w:eastAsia="仿宋_GB2312" w:cs="仿宋_GB2312"/>
          <w:color w:val="000000"/>
          <w:kern w:val="0"/>
          <w:sz w:val="31"/>
          <w:szCs w:val="31"/>
          <w:lang w:bidi="ar"/>
        </w:rPr>
        <w:t>示例：农业农村改革发展课题研究</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37.7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37.7</w:t>
      </w:r>
      <w:r>
        <w:rPr>
          <w:rFonts w:ascii="仿宋_GB2312" w:hAnsi="仿宋_GB2312" w:eastAsia="仿宋_GB2312" w:cs="仿宋_GB2312"/>
          <w:color w:val="000000"/>
          <w:kern w:val="0"/>
          <w:sz w:val="31"/>
          <w:szCs w:val="31"/>
          <w:lang w:bidi="ar"/>
        </w:rPr>
        <w:t>%。主要产出和效果：通过</w:t>
      </w:r>
      <w:r>
        <w:rPr>
          <w:rFonts w:hint="eastAsia" w:ascii="BatangChe" w:hAnsi="BatangChe" w:eastAsia="仿宋_GB2312"/>
          <w:kern w:val="0"/>
          <w:sz w:val="32"/>
          <w:szCs w:val="32"/>
        </w:rPr>
        <w:t>对农村产权制度改革、农业农村金融制度创新、农村乡村治理研究等方面</w:t>
      </w:r>
      <w:r>
        <w:rPr>
          <w:rFonts w:ascii="Times New Roman" w:hAnsi="Times New Roman" w:eastAsia="仿宋_GB2312" w:cs="Times New Roman"/>
          <w:kern w:val="0"/>
          <w:sz w:val="32"/>
          <w:szCs w:val="32"/>
        </w:rPr>
        <w:t>开展课题研究</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bidi="ar"/>
        </w:rPr>
        <w:t>课题研究时间为2019年8月—2020年10月，签约并支付40%用于课题启动</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未达完成时限</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val="en-US" w:eastAsia="zh-CN" w:bidi="ar"/>
        </w:rPr>
        <w:t>及时关注课题进展，确保按期完成项目</w:t>
      </w:r>
      <w:r>
        <w:rPr>
          <w:rFonts w:hint="eastAsia" w:ascii="仿宋_GB2312" w:hAnsi="仿宋_GB2312" w:eastAsia="仿宋_GB2312" w:cs="仿宋_GB2312"/>
          <w:color w:val="000000"/>
          <w:kern w:val="0"/>
          <w:sz w:val="31"/>
          <w:szCs w:val="31"/>
          <w:lang w:bidi="ar"/>
        </w:rPr>
        <w:t>。</w: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07.4pt;width:462.7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37.65pt;width:632.1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8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65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43.71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624.42</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36.71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sz w:val="32"/>
          <w:szCs w:val="32"/>
        </w:rPr>
        <w:t>区委政研室为2019年9月新单设区委部门</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8A3596"/>
    <w:rsid w:val="00B80654"/>
    <w:rsid w:val="00E8111E"/>
    <w:rsid w:val="013B79AC"/>
    <w:rsid w:val="09CB371E"/>
    <w:rsid w:val="125E2600"/>
    <w:rsid w:val="132E46A0"/>
    <w:rsid w:val="14411117"/>
    <w:rsid w:val="1586116E"/>
    <w:rsid w:val="1666578D"/>
    <w:rsid w:val="18BB4AD7"/>
    <w:rsid w:val="1B4A3FDA"/>
    <w:rsid w:val="1B524C98"/>
    <w:rsid w:val="1C5E2F73"/>
    <w:rsid w:val="1D6E0C0D"/>
    <w:rsid w:val="221C15BB"/>
    <w:rsid w:val="23DE2ED3"/>
    <w:rsid w:val="25BA6507"/>
    <w:rsid w:val="29785A6B"/>
    <w:rsid w:val="2B222F86"/>
    <w:rsid w:val="2D1F3974"/>
    <w:rsid w:val="2DB52EF2"/>
    <w:rsid w:val="2FF0756B"/>
    <w:rsid w:val="31AA6038"/>
    <w:rsid w:val="33887EE3"/>
    <w:rsid w:val="34677C61"/>
    <w:rsid w:val="39666A78"/>
    <w:rsid w:val="3AE83221"/>
    <w:rsid w:val="3B121AD1"/>
    <w:rsid w:val="3CFD0D2E"/>
    <w:rsid w:val="41603979"/>
    <w:rsid w:val="41CF436B"/>
    <w:rsid w:val="4619368A"/>
    <w:rsid w:val="471F2499"/>
    <w:rsid w:val="49E07658"/>
    <w:rsid w:val="4D6E0FDF"/>
    <w:rsid w:val="4EE4307A"/>
    <w:rsid w:val="5153143F"/>
    <w:rsid w:val="52330FE7"/>
    <w:rsid w:val="54F12DEE"/>
    <w:rsid w:val="57411A91"/>
    <w:rsid w:val="5B8D564A"/>
    <w:rsid w:val="5E222123"/>
    <w:rsid w:val="64423CD2"/>
    <w:rsid w:val="65074FBA"/>
    <w:rsid w:val="68D3019F"/>
    <w:rsid w:val="69512523"/>
    <w:rsid w:val="71086DB5"/>
    <w:rsid w:val="71782344"/>
    <w:rsid w:val="75C31473"/>
    <w:rsid w:val="7BD21D6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emf"/><Relationship Id="rId17" Type="http://schemas.openxmlformats.org/officeDocument/2006/relationships/oleObject" Target="embeddings/oleObject3.bin"/><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总收入</a:t>
            </a:r>
          </a:p>
        </c:rich>
      </c:tx>
      <c:layout/>
      <c:overlay val="0"/>
      <c:spPr>
        <a:noFill/>
        <a:ln>
          <a:noFill/>
        </a:ln>
        <a:effectLst/>
      </c:spPr>
    </c:title>
    <c:autoTitleDeleted val="0"/>
    <c:plotArea>
      <c:layout/>
      <c:pieChart>
        <c:varyColors val="1"/>
        <c:ser>
          <c:idx val="0"/>
          <c:order val="0"/>
          <c:tx>
            <c:strRef>
              <c:f>Sheet1!$B$1</c:f>
              <c:strCache>
                <c:ptCount val="1"/>
                <c:pt idx="0">
                  <c:v>总收入</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Lbls>
            <c:delete val="1"/>
          </c:dLbls>
          <c:cat>
            <c:strRef>
              <c:f>Sheet1!$A$2:$A$5</c:f>
              <c:strCache>
                <c:ptCount val="4"/>
                <c:pt idx="0">
                  <c:v>43.71万元</c:v>
                </c:pt>
              </c:strCache>
            </c:strRef>
          </c:cat>
          <c:val>
            <c:numRef>
              <c:f>Sheet1!$B$2:$B$5</c:f>
              <c:numCache>
                <c:formatCode>General</c:formatCode>
                <c:ptCount val="4"/>
                <c:pt idx="0">
                  <c:v>1</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0412689500280741"/>
          <c:y val="0.894214876033058"/>
          <c:w val="0.29842784952274"/>
          <c:h val="0.07933884297520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Lbls>
            <c:delete val="1"/>
          </c:dLbls>
          <c:cat>
            <c:strRef>
              <c:f>Sheet1!$A$2:$A$5</c:f>
              <c:strCache>
                <c:ptCount val="4"/>
                <c:pt idx="1">
                  <c:v>43.71万元</c:v>
                </c:pt>
              </c:strCache>
            </c:strRef>
          </c:cat>
          <c:val>
            <c:numRef>
              <c:f>Sheet1!$B$2:$B$5</c:f>
              <c:numCache>
                <c:formatCode>General</c:formatCode>
                <c:ptCount val="4"/>
                <c:pt idx="0">
                  <c:v>0</c:v>
                </c:pt>
                <c:pt idx="1">
                  <c:v>1</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586803519061584"/>
          <c:y val="0.890097629009763"/>
          <c:w val="0.353079178885631"/>
          <c:h val="0.08172942817294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收入决算情况（单位：万元）</a:t>
            </a:r>
          </a:p>
        </c:rich>
      </c:tx>
      <c:layout>
        <c:manualLayout>
          <c:xMode val="edge"/>
          <c:yMode val="edge"/>
          <c:x val="0.0525854513584575"/>
          <c:y val="0.0438247011952191"/>
        </c:manualLayout>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c:v>
                </c:pt>
                <c:pt idx="1">
                  <c:v>其他收入</c:v>
                </c:pt>
              </c:strCache>
            </c:strRef>
          </c:cat>
          <c:val>
            <c:numRef>
              <c:f>Sheet1!$B$2:$B$5</c:f>
              <c:numCache>
                <c:formatCode>General</c:formatCode>
                <c:ptCount val="4"/>
                <c:pt idx="0">
                  <c:v>6.01</c:v>
                </c:pt>
                <c:pt idx="1">
                  <c:v>37.7</c:v>
                </c:pt>
              </c:numCache>
            </c:numRef>
          </c:val>
        </c:ser>
        <c:ser>
          <c:idx val="1"/>
          <c:order val="1"/>
          <c:tx>
            <c:strRef>
              <c:f>Sheet1!$C$1</c:f>
              <c:strCache>
                <c:ptCount val="1"/>
                <c:pt idx="0">
                  <c:v>系列 2</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Pt>
            <c:idx val="1"/>
            <c:bubble3D val="0"/>
            <c:spPr>
              <a:gradFill>
                <a:gsLst>
                  <a:gs pos="100000">
                    <a:schemeClr val="accent3">
                      <a:tint val="86000"/>
                      <a:lumMod val="60000"/>
                      <a:lumOff val="40000"/>
                    </a:schemeClr>
                  </a:gs>
                  <a:gs pos="0">
                    <a:schemeClr val="accent3">
                      <a:tint val="86000"/>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58000"/>
                      <a:lumMod val="60000"/>
                      <a:lumOff val="40000"/>
                    </a:schemeClr>
                  </a:gs>
                  <a:gs pos="0">
                    <a:schemeClr val="accent3">
                      <a:shade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c:v>
                </c:pt>
                <c:pt idx="1">
                  <c:v>其他收入</c:v>
                </c:pt>
              </c:strCache>
            </c:strRef>
          </c:cat>
          <c:val>
            <c:numRef>
              <c:f>Sheet1!$C$2:$C$5</c:f>
              <c:numCache>
                <c:formatCode>General</c:formatCode>
                <c:ptCount val="4"/>
                <c:pt idx="0">
                  <c:v>2.4</c:v>
                </c:pt>
                <c:pt idx="1">
                  <c:v>4.4</c:v>
                </c:pt>
              </c:numCache>
            </c:numRef>
          </c:val>
        </c:ser>
        <c:ser>
          <c:idx val="2"/>
          <c:order val="2"/>
          <c:tx>
            <c:strRef>
              <c:f>Sheet1!$D$1</c:f>
              <c:strCache>
                <c:ptCount val="1"/>
                <c:pt idx="0">
                  <c:v>系列 3</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Pt>
            <c:idx val="1"/>
            <c:bubble3D val="0"/>
            <c:spPr>
              <a:gradFill>
                <a:gsLst>
                  <a:gs pos="100000">
                    <a:schemeClr val="accent3">
                      <a:tint val="86000"/>
                      <a:lumMod val="60000"/>
                      <a:lumOff val="40000"/>
                    </a:schemeClr>
                  </a:gs>
                  <a:gs pos="0">
                    <a:schemeClr val="accent3">
                      <a:tint val="86000"/>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58000"/>
                      <a:lumMod val="60000"/>
                      <a:lumOff val="40000"/>
                    </a:schemeClr>
                  </a:gs>
                  <a:gs pos="0">
                    <a:schemeClr val="accent3">
                      <a:shade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c:v>
                </c:pt>
                <c:pt idx="1">
                  <c:v>其他收入</c:v>
                </c:pt>
              </c:strCache>
            </c:strRef>
          </c:cat>
          <c:val>
            <c:numRef>
              <c:f>Sheet1!$D$2:$D$5</c:f>
              <c:numCache>
                <c:formatCode>General</c:formatCode>
                <c:ptCount val="4"/>
                <c:pt idx="0">
                  <c:v>2</c:v>
                </c:pt>
                <c:pt idx="1">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支出决算情况（单位：万元）</a:t>
            </a:r>
          </a:p>
        </c:rich>
      </c:tx>
      <c:layout>
        <c:manualLayout>
          <c:xMode val="edge"/>
          <c:yMode val="edge"/>
          <c:x val="0.0525854513584575"/>
          <c:y val="0.0438247011952191"/>
        </c:manualLayout>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6.01</c:v>
                </c:pt>
                <c:pt idx="1">
                  <c:v>37.7</c:v>
                </c:pt>
              </c:numCache>
            </c:numRef>
          </c:val>
        </c:ser>
        <c:ser>
          <c:idx val="1"/>
          <c:order val="1"/>
          <c:tx>
            <c:strRef>
              <c:f>Sheet1!$C$1</c:f>
              <c:strCache>
                <c:ptCount val="1"/>
                <c:pt idx="0">
                  <c:v>系列 2</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Sheet1!$C$2:$C$5</c:f>
              <c:numCache>
                <c:formatCode>General</c:formatCode>
                <c:ptCount val="4"/>
                <c:pt idx="0">
                  <c:v>2.4</c:v>
                </c:pt>
                <c:pt idx="1">
                  <c:v>4.4</c:v>
                </c:pt>
              </c:numCache>
            </c:numRef>
          </c:val>
        </c:ser>
        <c:ser>
          <c:idx val="2"/>
          <c:order val="2"/>
          <c:tx>
            <c:strRef>
              <c:f>Sheet1!$D$1</c:f>
              <c:strCache>
                <c:ptCount val="1"/>
                <c:pt idx="0">
                  <c:v>系列 3</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Sheet1!$D$2:$D$5</c:f>
              <c:numCache>
                <c:formatCode>General</c:formatCode>
                <c:ptCount val="4"/>
                <c:pt idx="0">
                  <c:v>2</c:v>
                </c:pt>
                <c:pt idx="1">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总收入</a:t>
            </a:r>
          </a:p>
        </c:rich>
      </c:tx>
      <c:layout/>
      <c:overlay val="0"/>
      <c:spPr>
        <a:noFill/>
        <a:ln>
          <a:noFill/>
        </a:ln>
        <a:effectLst/>
      </c:spPr>
    </c:title>
    <c:autoTitleDeleted val="0"/>
    <c:plotArea>
      <c:layout/>
      <c:pieChart>
        <c:varyColors val="1"/>
        <c:ser>
          <c:idx val="0"/>
          <c:order val="0"/>
          <c:tx>
            <c:strRef>
              <c:f>Sheet1!$B$1</c:f>
              <c:strCache>
                <c:ptCount val="1"/>
                <c:pt idx="0">
                  <c:v>总收入</c:v>
                </c:pt>
              </c:strCache>
            </c:strRef>
          </c:tx>
          <c:spPr>
            <a:ln w="19050">
              <a:noFill/>
            </a:ln>
          </c:spPr>
          <c:explosion val="0"/>
          <c:dPt>
            <c:idx val="0"/>
            <c:bubble3D val="0"/>
            <c:spPr>
              <a:solidFill>
                <a:schemeClr val="accent2">
                  <a:shade val="58000"/>
                </a:schemeClr>
              </a:solidFill>
              <a:ln w="19050">
                <a:noFill/>
              </a:ln>
              <a:effectLst/>
            </c:spPr>
          </c:dPt>
          <c:dPt>
            <c:idx val="1"/>
            <c:bubble3D val="0"/>
            <c:spPr>
              <a:solidFill>
                <a:schemeClr val="accent2">
                  <a:shade val="86000"/>
                </a:schemeClr>
              </a:solidFill>
              <a:ln w="19050">
                <a:noFill/>
              </a:ln>
              <a:effectLst/>
            </c:spPr>
          </c:dPt>
          <c:dPt>
            <c:idx val="2"/>
            <c:bubble3D val="0"/>
            <c:spPr>
              <a:solidFill>
                <a:schemeClr val="accent2">
                  <a:tint val="86000"/>
                </a:schemeClr>
              </a:solidFill>
              <a:ln w="19050">
                <a:noFill/>
              </a:ln>
              <a:effectLst/>
            </c:spPr>
          </c:dPt>
          <c:dPt>
            <c:idx val="3"/>
            <c:bubble3D val="0"/>
            <c:spPr>
              <a:solidFill>
                <a:schemeClr val="accent2">
                  <a:tint val="58000"/>
                </a:schemeClr>
              </a:solidFill>
              <a:ln w="19050">
                <a:noFill/>
              </a:ln>
              <a:effectLst/>
            </c:spPr>
          </c:dPt>
          <c:dLbls>
            <c:delete val="1"/>
          </c:dLbls>
          <c:cat>
            <c:strRef>
              <c:f>Sheet1!$A$2:$A$5</c:f>
              <c:strCache>
                <c:ptCount val="4"/>
                <c:pt idx="0">
                  <c:v>6.01万元</c:v>
                </c:pt>
              </c:strCache>
            </c:strRef>
          </c:cat>
          <c:val>
            <c:numRef>
              <c:f>Sheet1!$B$2:$B$5</c:f>
              <c:numCache>
                <c:formatCode>General</c:formatCode>
                <c:ptCount val="4"/>
                <c:pt idx="0">
                  <c:v>1</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0412689500280741"/>
          <c:y val="0.894214876033058"/>
          <c:w val="0.29842784952274"/>
          <c:h val="0.07933884297520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a:ln w="19050">
              <a:noFill/>
            </a:ln>
          </c:spPr>
          <c:explosion val="0"/>
          <c:dPt>
            <c:idx val="0"/>
            <c:bubble3D val="0"/>
            <c:spPr>
              <a:solidFill>
                <a:schemeClr val="accent6">
                  <a:shade val="58000"/>
                </a:schemeClr>
              </a:solidFill>
              <a:ln w="19050">
                <a:noFill/>
              </a:ln>
              <a:effectLst/>
            </c:spPr>
          </c:dPt>
          <c:dPt>
            <c:idx val="1"/>
            <c:bubble3D val="0"/>
            <c:spPr>
              <a:solidFill>
                <a:schemeClr val="accent6">
                  <a:shade val="86000"/>
                </a:schemeClr>
              </a:solidFill>
              <a:ln w="19050">
                <a:noFill/>
              </a:ln>
              <a:effectLst/>
            </c:spPr>
          </c:dPt>
          <c:dPt>
            <c:idx val="2"/>
            <c:bubble3D val="0"/>
            <c:spPr>
              <a:solidFill>
                <a:schemeClr val="accent6">
                  <a:tint val="86000"/>
                </a:schemeClr>
              </a:solidFill>
              <a:ln w="19050">
                <a:noFill/>
              </a:ln>
              <a:effectLst/>
            </c:spPr>
          </c:dPt>
          <c:dPt>
            <c:idx val="3"/>
            <c:bubble3D val="0"/>
            <c:spPr>
              <a:solidFill>
                <a:schemeClr val="accent6">
                  <a:tint val="58000"/>
                </a:schemeClr>
              </a:solidFill>
              <a:ln w="19050">
                <a:noFill/>
              </a:ln>
              <a:effectLst/>
            </c:spPr>
          </c:dPt>
          <c:dLbls>
            <c:delete val="1"/>
          </c:dLbls>
          <c:cat>
            <c:strRef>
              <c:f>Sheet1!$A$2:$A$5</c:f>
              <c:strCache>
                <c:ptCount val="4"/>
                <c:pt idx="1">
                  <c:v>6.01万元</c:v>
                </c:pt>
              </c:strCache>
            </c:strRef>
          </c:cat>
          <c:val>
            <c:numRef>
              <c:f>Sheet1!$B$2:$B$5</c:f>
              <c:numCache>
                <c:formatCode>General</c:formatCode>
                <c:ptCount val="4"/>
                <c:pt idx="0">
                  <c:v>0</c:v>
                </c:pt>
                <c:pt idx="1">
                  <c:v>1</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586803519061584"/>
          <c:y val="0.890097629009763"/>
          <c:w val="0.353079178885631"/>
          <c:h val="0.08172942817294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a:ln w="19050">
              <a:noFill/>
            </a:ln>
          </c:spPr>
          <c:explosion val="0"/>
          <c:dPt>
            <c:idx val="0"/>
            <c:bubble3D val="0"/>
            <c:spPr>
              <a:solidFill>
                <a:schemeClr val="accent6"/>
              </a:solidFill>
              <a:ln w="19050">
                <a:noFill/>
              </a:ln>
              <a:effectLst/>
            </c:spPr>
          </c:dPt>
          <c:dPt>
            <c:idx val="1"/>
            <c:bubble3D val="0"/>
            <c:spPr>
              <a:solidFill>
                <a:schemeClr val="accent5"/>
              </a:solidFill>
              <a:ln w="19050">
                <a:noFill/>
              </a:ln>
              <a:effectLst/>
            </c:spPr>
          </c:dPt>
          <c:dPt>
            <c:idx val="2"/>
            <c:bubble3D val="0"/>
            <c:spPr>
              <a:solidFill>
                <a:schemeClr val="accent4"/>
              </a:solidFill>
              <a:ln w="19050">
                <a:noFill/>
              </a:ln>
              <a:effectLst/>
            </c:spPr>
          </c:dPt>
          <c:dPt>
            <c:idx val="3"/>
            <c:bubble3D val="0"/>
            <c:spPr>
              <a:solidFill>
                <a:schemeClr val="accent6">
                  <a:lumMod val="60000"/>
                </a:schemeClr>
              </a:solidFill>
              <a:ln w="19050">
                <a:noFill/>
              </a:ln>
              <a:effectLst/>
            </c:spPr>
          </c:dPt>
          <c:dLbls>
            <c:delete val="1"/>
          </c:dLbls>
          <c:cat>
            <c:strRef>
              <c:f>Sheet1!$A$2:$A$5</c:f>
              <c:strCache>
                <c:ptCount val="4"/>
                <c:pt idx="1">
                  <c:v>6.01万元</c:v>
                </c:pt>
              </c:strCache>
            </c:strRef>
          </c:cat>
          <c:val>
            <c:numRef>
              <c:f>Sheet1!$B$2:$B$5</c:f>
              <c:numCache>
                <c:formatCode>General</c:formatCode>
                <c:ptCount val="4"/>
                <c:pt idx="0">
                  <c:v>0</c:v>
                </c:pt>
                <c:pt idx="1">
                  <c:v>1</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586803519061584"/>
          <c:y val="0.890097629009763"/>
          <c:w val="0.353079178885631"/>
          <c:h val="0.08172942817294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2020-10-27T06:46:00Z</cp:lastPrinted>
  <dcterms:modified xsi:type="dcterms:W3CDTF">2020-10-29T10:42:01Z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