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hAnsi="宋体" w:cs="宋体"/>
          <w:b/>
          <w:bCs/>
          <w:sz w:val="48"/>
          <w:szCs w:val="48"/>
        </w:rPr>
      </w:pPr>
      <w:r>
        <w:rPr>
          <w:rFonts w:hint="eastAsia" w:ascii="宋体" w:hAnsi="宋体" w:cs="宋体"/>
          <w:b/>
          <w:bCs/>
          <w:sz w:val="48"/>
          <w:szCs w:val="48"/>
        </w:rPr>
        <w:t>中共杨陵区委机构编制委员会办公室</w:t>
      </w:r>
    </w:p>
    <w:p>
      <w:pPr>
        <w:spacing w:line="560" w:lineRule="exact"/>
        <w:jc w:val="center"/>
        <w:rPr>
          <w:rFonts w:ascii="宋体" w:cs="宋体"/>
          <w:b/>
          <w:bCs/>
          <w:sz w:val="48"/>
          <w:szCs w:val="48"/>
        </w:rPr>
      </w:pP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ind w:firstLine="2088" w:firstLineChars="650"/>
        <w:rPr>
          <w:rFonts w:ascii="宋体" w:hAns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p>
    <w:p>
      <w:pPr>
        <w:spacing w:line="400" w:lineRule="exact"/>
        <w:rPr>
          <w:rFonts w:asci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十一、其他重要事项说明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jc w:val="center"/>
        <w:rPr>
          <w:rFonts w:ascii="宋体" w:cs="宋体"/>
          <w:b/>
          <w:bCs/>
          <w:sz w:val="44"/>
          <w:szCs w:val="44"/>
        </w:rPr>
      </w:pPr>
      <w:r>
        <w:rPr>
          <w:rFonts w:hint="eastAsia" w:ascii="黑体" w:hAnsi="宋体" w:eastAsia="黑体"/>
          <w:color w:val="000000"/>
          <w:kern w:val="0"/>
          <w:sz w:val="32"/>
          <w:szCs w:val="32"/>
        </w:rPr>
        <w:t>第四部分专业名词解释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spacing w:line="560" w:lineRule="exact"/>
        <w:ind w:firstLine="903" w:firstLineChars="281"/>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1.贯彻执行国家和省有关行政管理体制改革、机构改革、事业单位分类改革、事业单位登记管理制度改革和机构编制管理的方针、政策、法规，拟订本区机构编制管理办法和工作规则。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2.拟订本区管理体制改革和机构改革总体方案，并组织指导实施。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3.审核区镇（街道）机关事业单位的职能配置、调整和划分，协调区委、区政府机关事业单位之间职责分工。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4.审核区镇（街道）机构设置、工作机构（综合岗位）设置，人员编制、领导职数和人员结构调整等事项，指导管理体制改革和机构改革工作。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5.拟订区级机关、镇（街道）机关人员编制分配方案，贯彻执行事业单位人员编制标准。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6.负责党政机关、事业单位和社会组织网上名称管理和挂标工作，贯彻执行网上名称管理制度，监督管理网上名称注册和使用，建立网上名称争议解决机制和投诉处理机制。</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7.建立机构编制管理与财政预算管理相互配套协调约束机制，完善机构编制与组织、人社、财政相互配套协调约束机制，组织实施机关、事业单位人员编制实名制登记管理工作，做好机构编制统计工作。</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8.综合管理全区机构编制工作，监督检查区镇（街道）机构编制规定执行情况。</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9.承担区委机构编制委员会的日常工作。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10.完成区委、区政府、区委编委和上级部门交办的其他工作。</w:t>
      </w:r>
    </w:p>
    <w:p>
      <w:pPr>
        <w:widowControl/>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spacing w:line="560" w:lineRule="exact"/>
        <w:ind w:firstLine="640" w:firstLineChars="200"/>
        <w:jc w:val="left"/>
      </w:pPr>
      <w:r>
        <w:rPr>
          <w:rFonts w:hint="eastAsia" w:ascii="黑体" w:hAnsi="宋体" w:eastAsia="黑体"/>
          <w:color w:val="000000"/>
          <w:kern w:val="0"/>
          <w:sz w:val="32"/>
          <w:szCs w:val="32"/>
        </w:rPr>
        <w:t>二、部门决算单位构成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年本部门决算编制范围的单位共1个，包括（区事业单位登记管理局）：</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中共杨陵区委机构编制委员会办公室（机关）</w:t>
            </w:r>
          </w:p>
        </w:tc>
      </w:tr>
    </w:tbl>
    <w:p>
      <w:pPr>
        <w:spacing w:line="560" w:lineRule="exact"/>
        <w:ind w:firstLine="640"/>
        <w:rPr>
          <w:rFonts w:ascii="黑体" w:hAnsi="黑体" w:eastAsia="黑体"/>
          <w:b/>
          <w:bCs/>
          <w:sz w:val="32"/>
          <w:szCs w:val="32"/>
        </w:rPr>
      </w:pPr>
      <w:r>
        <w:rPr>
          <w:rFonts w:hint="eastAsia" w:ascii="黑体" w:hAnsi="黑体" w:eastAsia="黑体"/>
          <w:b/>
          <w:bCs/>
          <w:sz w:val="32"/>
          <w:szCs w:val="32"/>
        </w:rPr>
        <w:t>三、部门人员情况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年底，本部门人员编制9人，其中行政编制4人、事业编制5人；实有人员8人，其中行政5人、事业3人。单位管理的离退休人员1人。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942205" cy="2362200"/>
            <wp:effectExtent l="19050" t="0" r="105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p>
      <w:pPr>
        <w:widowControl/>
        <w:jc w:val="center"/>
        <w:rPr>
          <w:sz w:val="44"/>
          <w:szCs w:val="44"/>
        </w:rPr>
      </w:pP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sz w:val="24"/>
              </w:rPr>
            </w:pPr>
            <w:r>
              <w:rPr>
                <w:rFonts w:hint="eastAsia" w:ascii="黑体" w:hAnsi="宋体" w:eastAsia="黑体"/>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sz w:val="24"/>
              </w:rPr>
            </w:pPr>
            <w:r>
              <w:rPr>
                <w:rFonts w:hint="eastAsia" w:ascii="黑体" w:hAnsi="宋体" w:eastAsia="黑体"/>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kern w:val="0"/>
                <w:sz w:val="24"/>
              </w:rPr>
            </w:pPr>
            <w:r>
              <w:rPr>
                <w:rFonts w:hint="eastAsia" w:ascii="黑体" w:hAnsi="宋体" w:eastAsia="黑体"/>
                <w:kern w:val="0"/>
                <w:sz w:val="24"/>
              </w:rPr>
              <w:t>是否</w:t>
            </w:r>
          </w:p>
          <w:p>
            <w:pPr>
              <w:widowControl/>
              <w:jc w:val="center"/>
              <w:textAlignment w:val="center"/>
              <w:rPr>
                <w:rFonts w:ascii="黑体" w:hAnsi="宋体" w:eastAsia="黑体"/>
                <w:sz w:val="24"/>
              </w:rPr>
            </w:pPr>
            <w:r>
              <w:rPr>
                <w:rFonts w:hint="eastAsia" w:ascii="黑体" w:hAnsi="宋体" w:eastAsia="黑体"/>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sz w:val="24"/>
              </w:rPr>
            </w:pPr>
            <w:r>
              <w:rPr>
                <w:rFonts w:hint="eastAsia" w:ascii="黑体" w:hAnsi="宋体" w:eastAsia="黑体"/>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一般公共预算财政拨款支出决算表</w:t>
            </w:r>
          </w:p>
          <w:p>
            <w:pPr>
              <w:widowControl/>
              <w:jc w:val="left"/>
              <w:rPr>
                <w:rFonts w:ascii="宋体" w:hAnsi="宋体" w:cs="宋体"/>
                <w:kern w:val="0"/>
                <w:sz w:val="24"/>
              </w:rPr>
            </w:pPr>
            <w:r>
              <w:rPr>
                <w:rFonts w:hint="eastAsia" w:ascii="宋体" w:hAnsi="宋体" w:cs="宋体"/>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政府性基金预算财政拨款收入支出</w:t>
            </w:r>
          </w:p>
          <w:p>
            <w:pPr>
              <w:widowControl/>
              <w:jc w:val="left"/>
              <w:rPr>
                <w:rFonts w:ascii="宋体" w:hAnsi="宋体" w:cs="宋体"/>
                <w:sz w:val="24"/>
              </w:rPr>
            </w:pPr>
            <w:r>
              <w:rPr>
                <w:rFonts w:hint="eastAsia" w:ascii="宋体" w:hAnsi="宋体" w:cs="宋体"/>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无政府性基金</w:t>
            </w:r>
          </w:p>
        </w:tc>
      </w:tr>
    </w:tbl>
    <w:p>
      <w:pPr>
        <w:widowControl/>
        <w:rPr>
          <w:rFonts w:ascii="黑体" w:hAnsi="宋体" w:eastAsia="黑体"/>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14.22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0"/>
                <w:szCs w:val="20"/>
              </w:rPr>
            </w:pPr>
            <w:r>
              <w:rPr>
                <w:rFonts w:hint="eastAsia" w:cs="Arial"/>
                <w:color w:val="000000"/>
                <w:sz w:val="20"/>
                <w:szCs w:val="20"/>
              </w:rPr>
              <w:t>　</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0"/>
                <w:szCs w:val="20"/>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编制部门：中共杨陵区委机构编制委员会办公室                            金额单位：万元</w:t>
      </w:r>
    </w:p>
    <w:tbl>
      <w:tblPr>
        <w:tblStyle w:val="7"/>
        <w:tblW w:w="8867" w:type="dxa"/>
        <w:tblInd w:w="0" w:type="dxa"/>
        <w:tblLayout w:type="fixed"/>
        <w:tblCellMar>
          <w:top w:w="15" w:type="dxa"/>
          <w:left w:w="15" w:type="dxa"/>
          <w:bottom w:w="15" w:type="dxa"/>
          <w:right w:w="15" w:type="dxa"/>
        </w:tblCellMar>
      </w:tblPr>
      <w:tblGrid>
        <w:gridCol w:w="927"/>
        <w:gridCol w:w="1782"/>
        <w:gridCol w:w="992"/>
        <w:gridCol w:w="992"/>
        <w:gridCol w:w="567"/>
        <w:gridCol w:w="567"/>
        <w:gridCol w:w="851"/>
        <w:gridCol w:w="708"/>
        <w:gridCol w:w="671"/>
        <w:gridCol w:w="810"/>
      </w:tblGrid>
      <w:tr>
        <w:tblPrEx>
          <w:tblCellMar>
            <w:top w:w="15" w:type="dxa"/>
            <w:left w:w="15" w:type="dxa"/>
            <w:bottom w:w="15" w:type="dxa"/>
            <w:right w:w="15" w:type="dxa"/>
          </w:tblCellMar>
        </w:tblPrEx>
        <w:trPr>
          <w:trHeight w:val="439"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8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 收费</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17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w:t>
            </w:r>
          </w:p>
        </w:tc>
        <w:tc>
          <w:tcPr>
            <w:tcW w:w="17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其他共产党事务支出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2013601</w:t>
            </w:r>
          </w:p>
        </w:tc>
        <w:tc>
          <w:tcPr>
            <w:tcW w:w="17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行政运行</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97.80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83.58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2013699</w:t>
            </w:r>
          </w:p>
        </w:tc>
        <w:tc>
          <w:tcPr>
            <w:tcW w:w="17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其他共产党事务支出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编制部门：中共杨陵区委机构编制委员会办公室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2137"/>
        <w:gridCol w:w="1134"/>
        <w:gridCol w:w="1276"/>
        <w:gridCol w:w="1134"/>
        <w:gridCol w:w="850"/>
        <w:gridCol w:w="567"/>
        <w:gridCol w:w="801"/>
      </w:tblGrid>
      <w:tr>
        <w:tblPrEx>
          <w:tblCellMar>
            <w:top w:w="15" w:type="dxa"/>
            <w:left w:w="15" w:type="dxa"/>
            <w:bottom w:w="15" w:type="dxa"/>
            <w:right w:w="15" w:type="dxa"/>
          </w:tblCellMar>
        </w:tblPrEx>
        <w:trPr>
          <w:trHeight w:val="372" w:hRule="atLeast"/>
        </w:trPr>
        <w:tc>
          <w:tcPr>
            <w:tcW w:w="3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对附属单位补助支出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其他共产党事务支出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99.15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2013601</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行政运行</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97.80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97.80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2013699</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其他共产党事务支出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84.93</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7"/>
        <w:tblW w:w="8777" w:type="dxa"/>
        <w:tblInd w:w="0" w:type="dxa"/>
        <w:tblLayout w:type="fixed"/>
        <w:tblCellMar>
          <w:top w:w="15" w:type="dxa"/>
          <w:left w:w="15" w:type="dxa"/>
          <w:bottom w:w="15" w:type="dxa"/>
          <w:right w:w="15" w:type="dxa"/>
        </w:tblCellMar>
      </w:tblPr>
      <w:tblGrid>
        <w:gridCol w:w="1008"/>
        <w:gridCol w:w="1842"/>
        <w:gridCol w:w="863"/>
        <w:gridCol w:w="1020"/>
        <w:gridCol w:w="935"/>
        <w:gridCol w:w="1039"/>
        <w:gridCol w:w="1020"/>
        <w:gridCol w:w="1050"/>
      </w:tblGrid>
      <w:tr>
        <w:tblPrEx>
          <w:tblCellMar>
            <w:top w:w="15" w:type="dxa"/>
            <w:left w:w="15" w:type="dxa"/>
            <w:bottom w:w="15" w:type="dxa"/>
            <w:right w:w="15" w:type="dxa"/>
          </w:tblCellMar>
        </w:tblPrEx>
        <w:trPr>
          <w:trHeight w:val="41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81.07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r>
      <w:tr>
        <w:tblPrEx>
          <w:tblCellMar>
            <w:top w:w="15" w:type="dxa"/>
            <w:left w:w="15" w:type="dxa"/>
            <w:bottom w:w="15" w:type="dxa"/>
            <w:right w:w="15" w:type="dxa"/>
          </w:tblCellMar>
        </w:tblPrEx>
        <w:trPr>
          <w:trHeight w:val="78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18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81.07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w:t>
            </w:r>
          </w:p>
        </w:tc>
        <w:tc>
          <w:tcPr>
            <w:tcW w:w="18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其他共产党事务支出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81.07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r>
      <w:tr>
        <w:tblPrEx>
          <w:tblCellMar>
            <w:top w:w="15" w:type="dxa"/>
            <w:left w:w="15" w:type="dxa"/>
            <w:bottom w:w="15" w:type="dxa"/>
            <w:right w:w="15" w:type="dxa"/>
          </w:tblCellMar>
        </w:tblPrEx>
        <w:trPr>
          <w:trHeight w:val="78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2013601</w:t>
            </w:r>
          </w:p>
        </w:tc>
        <w:tc>
          <w:tcPr>
            <w:tcW w:w="18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83.58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83.58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79.72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83.58</w:t>
            </w: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2013699</w:t>
            </w:r>
          </w:p>
        </w:tc>
        <w:tc>
          <w:tcPr>
            <w:tcW w:w="18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其他共产党事务支出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w:t>
            </w: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ind w:firstLine="2100" w:firstLineChars="100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84.93</w:t>
            </w:r>
          </w:p>
        </w:tc>
        <w:tc>
          <w:tcPr>
            <w:tcW w:w="1437"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81.07</w:t>
            </w:r>
          </w:p>
        </w:tc>
        <w:tc>
          <w:tcPr>
            <w:tcW w:w="1363" w:type="dxa"/>
            <w:tcBorders>
              <w:left w:val="single" w:color="000000" w:sz="4" w:space="0"/>
              <w:bottom w:val="single" w:color="000000" w:sz="4" w:space="0"/>
              <w:right w:val="single" w:color="000000" w:sz="4" w:space="0"/>
            </w:tcBorders>
            <w:vAlign w:val="center"/>
          </w:tcPr>
          <w:p>
            <w:pPr>
              <w:jc w:val="right"/>
              <w:rPr>
                <w:rFonts w:ascii="宋体" w:hAnsi="宋体" w:cs="Arial"/>
                <w:sz w:val="22"/>
                <w:szCs w:val="22"/>
              </w:rPr>
            </w:pPr>
            <w:r>
              <w:rPr>
                <w:rFonts w:hint="eastAsia" w:cs="Arial"/>
                <w:sz w:val="22"/>
                <w:szCs w:val="22"/>
              </w:rPr>
              <w:t>3.86</w:t>
            </w:r>
          </w:p>
        </w:tc>
        <w:tc>
          <w:tcPr>
            <w:tcW w:w="1155" w:type="dxa"/>
            <w:tcBorders>
              <w:left w:val="single" w:color="000000" w:sz="4" w:space="0"/>
              <w:bottom w:val="single" w:color="000000" w:sz="4" w:space="0"/>
              <w:right w:val="single" w:color="000000" w:sz="4" w:space="0"/>
            </w:tcBorders>
            <w:vAlign w:val="center"/>
          </w:tcPr>
          <w:p>
            <w:pPr>
              <w:jc w:val="right"/>
              <w:rPr>
                <w:rFonts w:ascii="宋体" w:hAnsi="宋体" w:cs="Arial"/>
                <w:color w:val="FF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81.02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23.19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18.41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16.80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1.35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6.41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7.34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eastAsia="宋体" w:cs="Arial"/>
                <w:color w:val="000000"/>
                <w:sz w:val="22"/>
                <w:szCs w:val="22"/>
                <w:lang w:val="en-US" w:eastAsia="zh-CN"/>
              </w:rPr>
            </w:pPr>
            <w:r>
              <w:rPr>
                <w:rFonts w:hint="eastAsia" w:cs="Arial"/>
                <w:color w:val="000000"/>
                <w:sz w:val="22"/>
                <w:szCs w:val="22"/>
                <w:lang w:val="en-US" w:eastAsia="zh-CN"/>
              </w:rPr>
              <w:t>7.53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3.85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FF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1.64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FF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FF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FF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315" w:firstLineChars="150"/>
              <w:jc w:val="left"/>
              <w:rPr>
                <w:rFonts w:ascii="宋体" w:hAnsi="宋体" w:cs="宋体"/>
                <w:color w:val="000000"/>
                <w:szCs w:val="21"/>
              </w:rPr>
            </w:pPr>
            <w:r>
              <w:rPr>
                <w:rFonts w:hint="eastAsia"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0.08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FF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315" w:firstLineChars="150"/>
              <w:jc w:val="left"/>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1.51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30311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sz w:val="22"/>
                <w:szCs w:val="22"/>
              </w:rPr>
            </w:pPr>
            <w:r>
              <w:rPr>
                <w:rFonts w:hint="eastAsia" w:cs="Arial"/>
                <w:sz w:val="22"/>
                <w:szCs w:val="22"/>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FF0000"/>
                <w:sz w:val="22"/>
                <w:szCs w:val="22"/>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bookmarkStart w:id="4" w:name="_GoBack"/>
      <w:bookmarkEnd w:id="4"/>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编制部门：中共杨陵区委机构编制委员会办公室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2019年收入99.15万元，比上年增加100%，主要原因是区委编办为2019年机构改革新成立单位。</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9100" cy="1786255"/>
            <wp:effectExtent l="19050" t="0" r="24977" b="4234"/>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2019年支出99.15万元，比上年增加100%，主要原因是区委编办为2019年机构改革新成立单位。</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94655" cy="1540510"/>
            <wp:effectExtent l="19050" t="0" r="10372" b="2117"/>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99.15</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84.93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85.66</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14.22万</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rPr>
        <w:t>14.34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975860" cy="2370455"/>
            <wp:effectExtent l="19050" t="0" r="14817"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99.15</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99.15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826000" cy="2378710"/>
            <wp:effectExtent l="19050" t="0" r="12489" b="2116"/>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收入84.93万元，总体情况及比上年增加100%，主要原因是区委编办为2019年机构改革新成立单位。</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4655" cy="1769110"/>
            <wp:effectExtent l="19050" t="0" r="10372" b="2116"/>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支出入84.93万元，总体情况及比上年增加100%，主要原因是区委编办为2019年机构改革新成立单位。</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289550" cy="1938655"/>
            <wp:effectExtent l="19050" t="0" r="25400" b="4233"/>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84.93</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85.66</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增加84.93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增加100</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rPr>
        <w:t>区委编办为2019年机构改革新成立单位。</w:t>
      </w:r>
    </w:p>
    <w:p>
      <w:pPr>
        <w:widowControl/>
        <w:ind w:firstLine="420" w:firstLineChars="200"/>
        <w:jc w:val="left"/>
      </w:pPr>
      <w:r>
        <w:drawing>
          <wp:inline distT="0" distB="0" distL="0" distR="0">
            <wp:extent cx="5340350" cy="1854200"/>
            <wp:effectExtent l="19050" t="0" r="1270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84.93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84.93</w:t>
      </w:r>
      <w:r>
        <w:rPr>
          <w:rFonts w:ascii="仿宋_GB2312" w:hAnsi="宋体" w:eastAsia="仿宋_GB2312" w:cs="仿宋_GB2312"/>
          <w:color w:val="000000"/>
          <w:kern w:val="0"/>
          <w:sz w:val="32"/>
          <w:szCs w:val="32"/>
        </w:rPr>
        <w:t>万元，完成年初预算</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lang w:eastAsia="zh-CN"/>
        </w:rPr>
        <w:t>其他共产党事务支出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行政运行</w:t>
      </w:r>
      <w:r>
        <w:rPr>
          <w:rFonts w:ascii="仿宋_GB2312" w:hAnsi="宋体" w:eastAsia="仿宋_GB2312" w:cs="仿宋_GB2312"/>
          <w:b/>
          <w:color w:val="000000"/>
          <w:kern w:val="0"/>
          <w:sz w:val="32"/>
          <w:szCs w:val="32"/>
        </w:rPr>
        <w:t>（项）</w:t>
      </w:r>
      <w:r>
        <w:rPr>
          <w:rFonts w:hint="eastAsia" w:ascii="仿宋_GB2312" w:hAnsi="宋体" w:eastAsia="仿宋_GB2312" w:cs="仿宋_GB2312"/>
          <w:b/>
          <w:color w:val="000000"/>
          <w:kern w:val="0"/>
          <w:sz w:val="32"/>
          <w:szCs w:val="32"/>
          <w:lang w:eastAsia="zh-CN"/>
        </w:rPr>
        <w:t>。</w:t>
      </w:r>
      <w:r>
        <w:rPr>
          <w:rFonts w:ascii="仿宋_GB2312" w:hAnsi="宋体" w:eastAsia="仿宋_GB2312" w:cs="仿宋_GB2312"/>
          <w:b/>
          <w:color w:val="000000"/>
          <w:kern w:val="0"/>
          <w:sz w:val="32"/>
          <w:szCs w:val="32"/>
        </w:rPr>
        <w:t xml:space="preserve"> </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lang w:val="en-US" w:eastAsia="zh-CN"/>
        </w:rPr>
        <w:t>3.58</w:t>
      </w:r>
      <w:r>
        <w:rPr>
          <w:rFonts w:ascii="仿宋_GB2312" w:hAnsi="宋体"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lang w:val="en-US" w:eastAsia="zh-CN"/>
        </w:rPr>
        <w:t>2</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其他共产党事务支出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其他共产党事务支出</w:t>
      </w:r>
      <w:r>
        <w:rPr>
          <w:rFonts w:ascii="仿宋_GB2312" w:hAnsi="宋体" w:eastAsia="仿宋_GB2312" w:cs="仿宋_GB2312"/>
          <w:b/>
          <w:color w:val="000000"/>
          <w:kern w:val="0"/>
          <w:sz w:val="32"/>
          <w:szCs w:val="32"/>
        </w:rPr>
        <w:t xml:space="preserve">（项）。 </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lang w:val="en-US" w:eastAsia="zh-CN"/>
        </w:rPr>
        <w:t>1.35</w:t>
      </w:r>
      <w:r>
        <w:rPr>
          <w:rFonts w:ascii="仿宋_GB2312" w:hAnsi="宋体" w:eastAsia="仿宋_GB2312" w:cs="仿宋_GB2312"/>
          <w:color w:val="000000"/>
          <w:kern w:val="0"/>
          <w:sz w:val="32"/>
          <w:szCs w:val="32"/>
        </w:rPr>
        <w:t>万元。</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84.93</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81.07</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3.86</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81.07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23.19万元；津贴补贴18.41万元；奖金16.8万元；伙食补助费1.35万元；绩效工资6.41万元；机关事业单位基本养老保险缴费7.34万元；住房公积金7.53万元；奖励金0.05万元。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3.86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：水费0.1万元；差旅费0.5万元；维修（护）费0.08万元；公务接待费0.02万元；工会经费1.64万元；其他交通费1.51万元。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0.02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减少0.08万元，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w:t>
      </w:r>
      <w:r>
        <w:rPr>
          <w:rFonts w:ascii="仿宋_GB2312" w:hAnsi="宋体" w:eastAsia="仿宋_GB2312" w:cs="仿宋_GB2312"/>
          <w:color w:val="000000"/>
          <w:kern w:val="0"/>
          <w:sz w:val="32"/>
          <w:szCs w:val="32"/>
        </w:rPr>
        <w:t>因公出国（境）</w:t>
      </w:r>
      <w:r>
        <w:rPr>
          <w:rFonts w:hint="eastAsia" w:ascii="仿宋_GB2312" w:hAnsi="宋体" w:eastAsia="仿宋_GB2312" w:cs="仿宋_GB2312"/>
          <w:color w:val="000000"/>
          <w:kern w:val="0"/>
          <w:sz w:val="32"/>
          <w:szCs w:val="32"/>
        </w:rPr>
        <w:t>及公务用车。</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%；公务接待费支出决算0.02万元，占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widowControl/>
        <w:ind w:firstLine="420" w:firstLineChars="200"/>
        <w:jc w:val="left"/>
      </w:pPr>
      <w:r>
        <w:drawing>
          <wp:inline distT="0" distB="0" distL="0" distR="0">
            <wp:extent cx="5162550" cy="1769110"/>
            <wp:effectExtent l="19050" t="0" r="19050" b="2116"/>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widowControl/>
        <w:ind w:firstLine="420" w:firstLineChars="200"/>
        <w:jc w:val="left"/>
      </w:pPr>
      <w:r>
        <w:drawing>
          <wp:inline distT="0" distB="0" distL="0" distR="0">
            <wp:extent cx="4603750" cy="1651000"/>
            <wp:effectExtent l="19050" t="0" r="2540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823460" cy="1862455"/>
            <wp:effectExtent l="19050" t="0" r="14817" b="4233"/>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1批次，5人次，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0.02</w:t>
      </w:r>
      <w:r>
        <w:rPr>
          <w:rFonts w:ascii="仿宋_GB2312" w:hAnsi="宋体" w:eastAsia="仿宋_GB2312" w:cs="仿宋_GB2312"/>
          <w:color w:val="000000"/>
          <w:kern w:val="0"/>
          <w:sz w:val="32"/>
          <w:szCs w:val="32"/>
        </w:rPr>
        <w:t>万元，完成预算的2</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减少0.08万元，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本年度公务接待较少。</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400550" cy="2006600"/>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十、预算绩效情况说明</w:t>
      </w:r>
    </w:p>
    <w:p>
      <w:pPr>
        <w:widowControl/>
        <w:ind w:left="1281" w:leftChars="304" w:hanging="643" w:hangingChars="200"/>
        <w:jc w:val="left"/>
        <w:rPr>
          <w:rFonts w:ascii="楷体_GB2312" w:hAnsi="宋体" w:eastAsia="楷体_GB2312" w:cs="楷体_GB2312"/>
          <w:b/>
          <w:kern w:val="0"/>
          <w:sz w:val="32"/>
          <w:szCs w:val="32"/>
        </w:rPr>
      </w:pPr>
      <w:r>
        <w:rPr>
          <w:rFonts w:hint="eastAsia" w:ascii="楷体_GB2312" w:hAnsi="宋体" w:eastAsia="楷体_GB2312" w:cs="楷体_GB2312"/>
          <w:b/>
          <w:kern w:val="0"/>
          <w:sz w:val="32"/>
          <w:szCs w:val="32"/>
        </w:rPr>
        <w:t>（一）</w:t>
      </w:r>
      <w:r>
        <w:rPr>
          <w:rFonts w:ascii="楷体_GB2312" w:hAnsi="宋体" w:eastAsia="楷体_GB2312" w:cs="楷体_GB2312"/>
          <w:b/>
          <w:kern w:val="0"/>
          <w:sz w:val="32"/>
          <w:szCs w:val="32"/>
        </w:rPr>
        <w:t>预算绩效管理工作开展情况</w:t>
      </w:r>
      <w:r>
        <w:rPr>
          <w:rFonts w:hint="eastAsia" w:ascii="楷体_GB2312" w:hAnsi="宋体" w:eastAsia="楷体_GB2312" w:cs="楷体_GB2312"/>
          <w:b/>
          <w:kern w:val="0"/>
          <w:sz w:val="32"/>
          <w:szCs w:val="32"/>
        </w:rPr>
        <w:t>说明</w:t>
      </w:r>
      <w:r>
        <w:rPr>
          <w:rFonts w:ascii="楷体_GB2312" w:hAnsi="宋体" w:eastAsia="楷体_GB2312" w:cs="楷体_GB2312"/>
          <w:b/>
          <w:kern w:val="0"/>
          <w:sz w:val="32"/>
          <w:szCs w:val="32"/>
        </w:rPr>
        <w:t>。</w:t>
      </w:r>
    </w:p>
    <w:p>
      <w:pPr>
        <w:widowControl/>
        <w:ind w:firstLine="640" w:firstLineChars="200"/>
        <w:jc w:val="left"/>
      </w:pPr>
      <w:r>
        <w:rPr>
          <w:rFonts w:hint="eastAsia" w:ascii="仿宋_GB2312" w:hAnsi="仿宋_GB2312" w:eastAsia="仿宋_GB2312" w:cs="仿宋_GB2312"/>
          <w:sz w:val="32"/>
          <w:szCs w:val="32"/>
        </w:rPr>
        <w:t>2019年,本单位项目支出为0。</w:t>
      </w:r>
    </w:p>
    <w:p>
      <w:pPr>
        <w:widowControl/>
        <w:ind w:firstLine="643" w:firstLineChars="200"/>
        <w:jc w:val="left"/>
        <w:rPr>
          <w:rFonts w:ascii="楷体_GB2312" w:hAnsi="宋体" w:eastAsia="楷体_GB2312" w:cs="楷体_GB2312"/>
          <w:b/>
          <w:kern w:val="0"/>
          <w:sz w:val="32"/>
          <w:szCs w:val="32"/>
        </w:rPr>
      </w:pPr>
      <w:r>
        <w:rPr>
          <w:rFonts w:hint="eastAsia" w:ascii="楷体_GB2312" w:hAnsi="宋体" w:eastAsia="楷体_GB2312" w:cs="楷体_GB2312"/>
          <w:b/>
          <w:kern w:val="0"/>
          <w:sz w:val="32"/>
          <w:szCs w:val="32"/>
        </w:rPr>
        <w:t>（二）</w:t>
      </w:r>
      <w:r>
        <w:rPr>
          <w:rFonts w:ascii="楷体_GB2312" w:hAnsi="宋体" w:eastAsia="楷体_GB2312" w:cs="楷体_GB2312"/>
          <w:b/>
          <w:kern w:val="0"/>
          <w:sz w:val="32"/>
          <w:szCs w:val="32"/>
        </w:rPr>
        <w:t>部门决算中项目绩效自评结果。</w:t>
      </w:r>
    </w:p>
    <w:p>
      <w:pPr>
        <w:widowControl/>
        <w:ind w:firstLine="640" w:firstLineChars="200"/>
        <w:jc w:val="left"/>
      </w:pPr>
      <w:r>
        <w:rPr>
          <w:rFonts w:hint="eastAsia" w:ascii="仿宋_GB2312" w:hAnsi="仿宋_GB2312" w:eastAsia="仿宋_GB2312" w:cs="仿宋_GB2312"/>
          <w:sz w:val="32"/>
          <w:szCs w:val="32"/>
        </w:rPr>
        <w:t>2019年,本单位项目支出为0。</w:t>
      </w:r>
    </w:p>
    <w:p>
      <w:pPr>
        <w:widowControl/>
        <w:jc w:val="left"/>
        <w:rPr>
          <w:rFonts w:ascii="仿宋_GB2312" w:hAnsi="仿宋_GB2312" w:eastAsia="仿宋_GB2312" w:cs="仿宋_GB2312"/>
          <w:kern w:val="0"/>
          <w:sz w:val="31"/>
          <w:szCs w:val="31"/>
        </w:rPr>
      </w:pPr>
    </w:p>
    <w:p>
      <w:pPr>
        <w:rPr>
          <w:rFonts w:ascii="楷体" w:hAnsi="楷体" w:eastAsia="楷体" w:cs="楷体"/>
          <w:color w:val="FF0000"/>
          <w:sz w:val="32"/>
          <w:szCs w:val="32"/>
        </w:rPr>
      </w:pPr>
    </w:p>
    <w:p>
      <w:pPr>
        <w:rPr>
          <w:rFonts w:ascii="楷体" w:hAnsi="楷体" w:eastAsia="楷体" w:cs="楷体"/>
          <w:color w:val="FF0000"/>
          <w:sz w:val="32"/>
          <w:szCs w:val="32"/>
        </w:rPr>
      </w:pPr>
    </w:p>
    <w:p>
      <w:pPr>
        <w:rPr>
          <w:rFonts w:ascii="楷体" w:hAnsi="楷体" w:eastAsia="楷体" w:cs="楷体"/>
          <w:color w:val="FF0000"/>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0" w:name="_MON_1663918827"/>
      <w:bookmarkEnd w:id="0"/>
    </w:p>
    <w:p>
      <w:pPr>
        <w:widowControl/>
        <w:jc w:val="left"/>
        <w:rPr>
          <w:rFonts w:ascii="楷体" w:hAnsi="楷体" w:eastAsia="楷体" w:cs="楷体"/>
          <w:sz w:val="32"/>
          <w:szCs w:val="32"/>
        </w:rPr>
      </w:pPr>
      <w:bookmarkStart w:id="1" w:name="_MON_1663997747"/>
      <w:bookmarkEnd w:id="1"/>
      <w:r>
        <w:rPr>
          <w:rFonts w:hint="eastAsia" w:ascii="楷体" w:hAnsi="楷体" w:eastAsia="楷体" w:cs="楷体"/>
          <w:sz w:val="32"/>
          <w:szCs w:val="32"/>
        </w:rPr>
        <w:object>
          <v:shape id="_x0000_i1025" o:spt="75" type="#_x0000_t75" style="height:1242.65pt;width:676pt;" o:ole="t" filled="f" o:preferrelative="t" stroked="f" coordsize="21600,21600">
            <v:path/>
            <v:fill on="f" focussize="0,0"/>
            <v:stroke on="f" joinstyle="miter"/>
            <v:imagedata r:id="rId18" o:title=""/>
            <o:lock v:ext="edit" aspectratio="t"/>
            <w10:wrap type="none"/>
            <w10:anchorlock/>
          </v:shape>
          <o:OLEObject Type="Embed" ProgID="Excel.Sheet.8" ShapeID="_x0000_i1025" DrawAspect="Content" ObjectID="_1468075725" r:id="rId17">
            <o:LockedField>false</o:LockedField>
          </o:OLEObject>
        </w:object>
      </w:r>
    </w:p>
    <w:p>
      <w:pPr>
        <w:rPr>
          <w:rFonts w:ascii="楷体" w:hAnsi="楷体" w:eastAsia="楷体" w:cs="楷体"/>
          <w:sz w:val="32"/>
          <w:szCs w:val="32"/>
        </w:rPr>
      </w:pPr>
      <w:bookmarkStart w:id="2" w:name="_MON_1664003713"/>
      <w:bookmarkEnd w:id="2"/>
      <w:r>
        <w:rPr>
          <w:rFonts w:hint="eastAsia" w:ascii="楷体" w:hAnsi="楷体" w:eastAsia="楷体" w:cs="楷体"/>
          <w:sz w:val="32"/>
          <w:szCs w:val="32"/>
        </w:rPr>
        <w:object>
          <v:shape id="_x0000_i1026" o:spt="75" type="#_x0000_t75" style="height:389.25pt;width:709.2pt;" o:ole="t" filled="f" o:preferrelative="t" stroked="f" coordsize="21600,21600">
            <v:path/>
            <v:fill on="f" focussize="0,0"/>
            <v:stroke on="f"/>
            <v:imagedata r:id="rId20" o:title=""/>
            <o:lock v:ext="edit" aspectratio="t"/>
            <w10:wrap type="none"/>
            <w10:anchorlock/>
          </v:shape>
          <o:OLEObject Type="Embed" ProgID="Excel.Sheet.8" ShapeID="_x0000_i1026" DrawAspect="Content" ObjectID="_1468075726" r:id="rId1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bookmarkStart w:id="3" w:name="_MON_1664003636"/>
      <w:bookmarkEnd w:id="3"/>
      <w:r>
        <w:rPr>
          <w:rFonts w:hint="eastAsia" w:ascii="楷体" w:hAnsi="楷体" w:eastAsia="楷体" w:cs="楷体"/>
          <w:sz w:val="32"/>
          <w:szCs w:val="32"/>
        </w:rPr>
        <w:object>
          <v:shape id="_x0000_i1027" o:spt="75" type="#_x0000_t75" style="height:372pt;width:648pt;" o:ole="t" filled="f" o:preferrelative="t" stroked="f" coordsize="21600,21600">
            <v:path/>
            <v:fill on="f" focussize="0,0"/>
            <v:stroke on="f"/>
            <v:imagedata r:id="rId22" o:title=""/>
            <o:lock v:ext="edit" aspectratio="t"/>
            <w10:wrap type="none"/>
            <w10:anchorlock/>
          </v:shape>
          <o:OLEObject Type="Embed" ProgID="Excel.Sheet.8" ShapeID="_x0000_i1027" DrawAspect="Content" ObjectID="_1468075727" r:id="rId2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3.86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加增(减少)0万元，决算数与预算数完全持平,</w:t>
      </w:r>
      <w:r>
        <w:rPr>
          <w:rFonts w:hint="eastAsia" w:ascii="仿宋_GB2312" w:hAnsi="仿宋" w:eastAsia="仿宋_GB2312"/>
          <w:sz w:val="32"/>
          <w:szCs w:val="32"/>
        </w:rPr>
        <w:t xml:space="preserve"> 主要原因是区委编办为2019年机构改革新成立单位</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&#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FcpWRHMAgAA4QUAAA4AAAAAAAAAAAAAAAAALgIAAGRycy9lMm9Eb2MueG1sUEsB&#10;Ai0AFAAGAAgAAAAhACEXQFPbAAAAAwEAAA8AAAAAAAAAAAAAAAAAJgUAAGRycy9kb3ducmV2Lnht&#10;bFBLBQYAAAAABAAEAPMAAAAuBgAAAAA=&#10;">
          <v:path arrowok="t"/>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1AA6038"/>
    <w:rsid w:val="00013713"/>
    <w:rsid w:val="00037655"/>
    <w:rsid w:val="00044729"/>
    <w:rsid w:val="00050E89"/>
    <w:rsid w:val="00074C30"/>
    <w:rsid w:val="000870B5"/>
    <w:rsid w:val="000959CF"/>
    <w:rsid w:val="000A1C21"/>
    <w:rsid w:val="000C0642"/>
    <w:rsid w:val="000D694D"/>
    <w:rsid w:val="000E684A"/>
    <w:rsid w:val="000E79FB"/>
    <w:rsid w:val="000F75EA"/>
    <w:rsid w:val="000F7FAA"/>
    <w:rsid w:val="00120C23"/>
    <w:rsid w:val="00133926"/>
    <w:rsid w:val="00146787"/>
    <w:rsid w:val="001610C3"/>
    <w:rsid w:val="00164001"/>
    <w:rsid w:val="001A6944"/>
    <w:rsid w:val="001D7568"/>
    <w:rsid w:val="001F136A"/>
    <w:rsid w:val="00200DBD"/>
    <w:rsid w:val="002079D7"/>
    <w:rsid w:val="00217E4A"/>
    <w:rsid w:val="00220D5E"/>
    <w:rsid w:val="002309B3"/>
    <w:rsid w:val="002424C8"/>
    <w:rsid w:val="0027781A"/>
    <w:rsid w:val="002874C6"/>
    <w:rsid w:val="002A2140"/>
    <w:rsid w:val="002A7893"/>
    <w:rsid w:val="002B146F"/>
    <w:rsid w:val="002B1B88"/>
    <w:rsid w:val="00310D07"/>
    <w:rsid w:val="003364E9"/>
    <w:rsid w:val="00351B6B"/>
    <w:rsid w:val="00351F54"/>
    <w:rsid w:val="00361A66"/>
    <w:rsid w:val="0036468F"/>
    <w:rsid w:val="00373955"/>
    <w:rsid w:val="00376D76"/>
    <w:rsid w:val="003770CB"/>
    <w:rsid w:val="00381A7D"/>
    <w:rsid w:val="00397E48"/>
    <w:rsid w:val="003A3EEC"/>
    <w:rsid w:val="003D68E2"/>
    <w:rsid w:val="003E6312"/>
    <w:rsid w:val="003E6716"/>
    <w:rsid w:val="003E6899"/>
    <w:rsid w:val="003F6B9C"/>
    <w:rsid w:val="0041253F"/>
    <w:rsid w:val="00420AA4"/>
    <w:rsid w:val="00434EC1"/>
    <w:rsid w:val="00451A5D"/>
    <w:rsid w:val="00452E2E"/>
    <w:rsid w:val="00472F5B"/>
    <w:rsid w:val="004A3585"/>
    <w:rsid w:val="004A782A"/>
    <w:rsid w:val="004B6D6E"/>
    <w:rsid w:val="004D1FD7"/>
    <w:rsid w:val="004E5EB6"/>
    <w:rsid w:val="004F6EAC"/>
    <w:rsid w:val="00505E42"/>
    <w:rsid w:val="00515F88"/>
    <w:rsid w:val="00521A2B"/>
    <w:rsid w:val="00534821"/>
    <w:rsid w:val="005366F9"/>
    <w:rsid w:val="0055053A"/>
    <w:rsid w:val="00590F9E"/>
    <w:rsid w:val="005A23AB"/>
    <w:rsid w:val="005B0837"/>
    <w:rsid w:val="005B416C"/>
    <w:rsid w:val="005C01FC"/>
    <w:rsid w:val="005D7CD0"/>
    <w:rsid w:val="00613115"/>
    <w:rsid w:val="00633D68"/>
    <w:rsid w:val="006630FC"/>
    <w:rsid w:val="006746C5"/>
    <w:rsid w:val="006A1F96"/>
    <w:rsid w:val="006B20E0"/>
    <w:rsid w:val="006B630B"/>
    <w:rsid w:val="006D021A"/>
    <w:rsid w:val="006E46FA"/>
    <w:rsid w:val="007047C5"/>
    <w:rsid w:val="0071201C"/>
    <w:rsid w:val="00734521"/>
    <w:rsid w:val="00734F70"/>
    <w:rsid w:val="00756C74"/>
    <w:rsid w:val="00773F80"/>
    <w:rsid w:val="00781B01"/>
    <w:rsid w:val="007B1836"/>
    <w:rsid w:val="007C26B1"/>
    <w:rsid w:val="007E0A4B"/>
    <w:rsid w:val="007F39D9"/>
    <w:rsid w:val="00813F4A"/>
    <w:rsid w:val="0085173D"/>
    <w:rsid w:val="00854551"/>
    <w:rsid w:val="0087531A"/>
    <w:rsid w:val="008819F0"/>
    <w:rsid w:val="00883FBE"/>
    <w:rsid w:val="00884E54"/>
    <w:rsid w:val="00890080"/>
    <w:rsid w:val="00894539"/>
    <w:rsid w:val="00895E93"/>
    <w:rsid w:val="008A3A49"/>
    <w:rsid w:val="008C5CE3"/>
    <w:rsid w:val="008D1484"/>
    <w:rsid w:val="008D20C6"/>
    <w:rsid w:val="008D2389"/>
    <w:rsid w:val="008F0FA7"/>
    <w:rsid w:val="008F7932"/>
    <w:rsid w:val="00901AEA"/>
    <w:rsid w:val="00914538"/>
    <w:rsid w:val="0091727C"/>
    <w:rsid w:val="009324D5"/>
    <w:rsid w:val="009420DD"/>
    <w:rsid w:val="00954077"/>
    <w:rsid w:val="0096459A"/>
    <w:rsid w:val="00975201"/>
    <w:rsid w:val="0097712B"/>
    <w:rsid w:val="0097736F"/>
    <w:rsid w:val="009A0AFE"/>
    <w:rsid w:val="009A1B6B"/>
    <w:rsid w:val="009C4D4D"/>
    <w:rsid w:val="009D7E2C"/>
    <w:rsid w:val="00A0623B"/>
    <w:rsid w:val="00A17C1B"/>
    <w:rsid w:val="00A23D2F"/>
    <w:rsid w:val="00A43CCE"/>
    <w:rsid w:val="00A67C3F"/>
    <w:rsid w:val="00A76AA2"/>
    <w:rsid w:val="00A821B0"/>
    <w:rsid w:val="00A87F1D"/>
    <w:rsid w:val="00A97779"/>
    <w:rsid w:val="00AB187A"/>
    <w:rsid w:val="00AB688F"/>
    <w:rsid w:val="00AC053A"/>
    <w:rsid w:val="00AC067C"/>
    <w:rsid w:val="00AD037B"/>
    <w:rsid w:val="00AD315B"/>
    <w:rsid w:val="00AE475D"/>
    <w:rsid w:val="00AE6A6F"/>
    <w:rsid w:val="00AF3F1D"/>
    <w:rsid w:val="00AF50CC"/>
    <w:rsid w:val="00B13471"/>
    <w:rsid w:val="00B202CF"/>
    <w:rsid w:val="00B3616F"/>
    <w:rsid w:val="00B55EF8"/>
    <w:rsid w:val="00B67EDF"/>
    <w:rsid w:val="00B80654"/>
    <w:rsid w:val="00B90934"/>
    <w:rsid w:val="00BA4D77"/>
    <w:rsid w:val="00BA6ABB"/>
    <w:rsid w:val="00BB16A2"/>
    <w:rsid w:val="00BB3555"/>
    <w:rsid w:val="00BE6A99"/>
    <w:rsid w:val="00BF630C"/>
    <w:rsid w:val="00C0083B"/>
    <w:rsid w:val="00C20435"/>
    <w:rsid w:val="00C3528A"/>
    <w:rsid w:val="00C52000"/>
    <w:rsid w:val="00C52E1A"/>
    <w:rsid w:val="00C61AE1"/>
    <w:rsid w:val="00C66178"/>
    <w:rsid w:val="00C816C5"/>
    <w:rsid w:val="00C94886"/>
    <w:rsid w:val="00C97CA2"/>
    <w:rsid w:val="00CB00A5"/>
    <w:rsid w:val="00CB0314"/>
    <w:rsid w:val="00CC2E59"/>
    <w:rsid w:val="00CC5FF2"/>
    <w:rsid w:val="00CD3990"/>
    <w:rsid w:val="00CD7234"/>
    <w:rsid w:val="00CE26E6"/>
    <w:rsid w:val="00CE35F7"/>
    <w:rsid w:val="00D261C3"/>
    <w:rsid w:val="00D433A6"/>
    <w:rsid w:val="00D46A6B"/>
    <w:rsid w:val="00D630FA"/>
    <w:rsid w:val="00D75F1F"/>
    <w:rsid w:val="00D90E01"/>
    <w:rsid w:val="00D93B83"/>
    <w:rsid w:val="00DB3770"/>
    <w:rsid w:val="00DC2629"/>
    <w:rsid w:val="00DC57B2"/>
    <w:rsid w:val="00E074BC"/>
    <w:rsid w:val="00E21707"/>
    <w:rsid w:val="00E22C00"/>
    <w:rsid w:val="00E36BFA"/>
    <w:rsid w:val="00E46B44"/>
    <w:rsid w:val="00E547E5"/>
    <w:rsid w:val="00E62E85"/>
    <w:rsid w:val="00E8111E"/>
    <w:rsid w:val="00E8495D"/>
    <w:rsid w:val="00E8718D"/>
    <w:rsid w:val="00E91F3A"/>
    <w:rsid w:val="00E927D1"/>
    <w:rsid w:val="00EA2A7D"/>
    <w:rsid w:val="00EB2AB9"/>
    <w:rsid w:val="00ED53AF"/>
    <w:rsid w:val="00EF04D4"/>
    <w:rsid w:val="00F071AF"/>
    <w:rsid w:val="00F17D49"/>
    <w:rsid w:val="00F26173"/>
    <w:rsid w:val="00F35288"/>
    <w:rsid w:val="00F46329"/>
    <w:rsid w:val="00F6403E"/>
    <w:rsid w:val="00F83413"/>
    <w:rsid w:val="00F95022"/>
    <w:rsid w:val="00FA744A"/>
    <w:rsid w:val="00FB5961"/>
    <w:rsid w:val="00FB6D46"/>
    <w:rsid w:val="00FE0D73"/>
    <w:rsid w:val="00FE122C"/>
    <w:rsid w:val="00FE1AA0"/>
    <w:rsid w:val="00FE300D"/>
    <w:rsid w:val="013B79AC"/>
    <w:rsid w:val="045A650F"/>
    <w:rsid w:val="0DF226DE"/>
    <w:rsid w:val="125E2600"/>
    <w:rsid w:val="132E46A0"/>
    <w:rsid w:val="14411117"/>
    <w:rsid w:val="1586116E"/>
    <w:rsid w:val="18BB4AD7"/>
    <w:rsid w:val="1B4A3FDA"/>
    <w:rsid w:val="1B524C98"/>
    <w:rsid w:val="1C5E2F73"/>
    <w:rsid w:val="1D6E0C0D"/>
    <w:rsid w:val="1F21342C"/>
    <w:rsid w:val="221C15BB"/>
    <w:rsid w:val="264B55C6"/>
    <w:rsid w:val="29785A6B"/>
    <w:rsid w:val="2D1F3974"/>
    <w:rsid w:val="2D913B7D"/>
    <w:rsid w:val="2DB52EF2"/>
    <w:rsid w:val="31AA6038"/>
    <w:rsid w:val="33887EE3"/>
    <w:rsid w:val="34677C61"/>
    <w:rsid w:val="3B121AD1"/>
    <w:rsid w:val="3CFD0D2E"/>
    <w:rsid w:val="41603979"/>
    <w:rsid w:val="41CF436B"/>
    <w:rsid w:val="429152E0"/>
    <w:rsid w:val="43A875FF"/>
    <w:rsid w:val="4619368A"/>
    <w:rsid w:val="471F2499"/>
    <w:rsid w:val="4D6E0FDF"/>
    <w:rsid w:val="4EE4307A"/>
    <w:rsid w:val="5153143F"/>
    <w:rsid w:val="54F12DEE"/>
    <w:rsid w:val="5B8D564A"/>
    <w:rsid w:val="5CC0574C"/>
    <w:rsid w:val="5CD23ECC"/>
    <w:rsid w:val="65074FBA"/>
    <w:rsid w:val="69512523"/>
    <w:rsid w:val="71086DB5"/>
    <w:rsid w:val="71D10F6B"/>
    <w:rsid w:val="75C31473"/>
    <w:rsid w:val="781C4FB8"/>
    <w:rsid w:val="7C3E5E46"/>
    <w:rsid w:val="7C5B5A63"/>
    <w:rsid w:val="7D1D772A"/>
    <w:rsid w:val="7D3C02E4"/>
    <w:rsid w:val="7EE759C2"/>
    <w:rsid w:val="7F3A0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c:v>
                </c:pt>
              </c:strCache>
            </c:strRef>
          </c:tx>
          <c:invertIfNegative val="0"/>
          <c:dLbls>
            <c:delete val="1"/>
          </c:dLbls>
          <c:cat>
            <c:strRef>
              <c:f>Sheet1!$A$2:$A$5</c:f>
              <c:strCache>
                <c:ptCount val="3"/>
                <c:pt idx="0">
                  <c:v>行政人员</c:v>
                </c:pt>
                <c:pt idx="1">
                  <c:v>事业人员</c:v>
                </c:pt>
                <c:pt idx="2">
                  <c:v>离退休人员</c:v>
                </c:pt>
              </c:strCache>
            </c:strRef>
          </c:cat>
          <c:val>
            <c:numRef>
              <c:f>Sheet1!$B$2:$B$5</c:f>
              <c:numCache>
                <c:formatCode>General</c:formatCode>
                <c:ptCount val="4"/>
                <c:pt idx="0">
                  <c:v>4</c:v>
                </c:pt>
                <c:pt idx="1">
                  <c:v>5</c:v>
                </c:pt>
              </c:numCache>
            </c:numRef>
          </c:val>
        </c:ser>
        <c:ser>
          <c:idx val="1"/>
          <c:order val="1"/>
          <c:tx>
            <c:strRef>
              <c:f>Sheet1!$C$1</c:f>
              <c:strCache>
                <c:ptCount val="1"/>
                <c:pt idx="0">
                  <c:v>实有人数</c:v>
                </c:pt>
              </c:strCache>
            </c:strRef>
          </c:tx>
          <c:invertIfNegative val="0"/>
          <c:dLbls>
            <c:delete val="1"/>
          </c:dLbls>
          <c:cat>
            <c:strRef>
              <c:f>Sheet1!$A$2:$A$5</c:f>
              <c:strCache>
                <c:ptCount val="3"/>
                <c:pt idx="0">
                  <c:v>行政人员</c:v>
                </c:pt>
                <c:pt idx="1">
                  <c:v>事业人员</c:v>
                </c:pt>
                <c:pt idx="2">
                  <c:v>离退休人员</c:v>
                </c:pt>
              </c:strCache>
            </c:strRef>
          </c:cat>
          <c:val>
            <c:numRef>
              <c:f>Sheet1!$C$2:$C$5</c:f>
              <c:numCache>
                <c:formatCode>General</c:formatCode>
                <c:ptCount val="4"/>
                <c:pt idx="0">
                  <c:v>5</c:v>
                </c:pt>
                <c:pt idx="1">
                  <c:v>3</c:v>
                </c:pt>
                <c:pt idx="2">
                  <c:v>1</c:v>
                </c:pt>
              </c:numCache>
            </c:numRef>
          </c:val>
        </c:ser>
        <c:dLbls>
          <c:showLegendKey val="0"/>
          <c:showVal val="0"/>
          <c:showCatName val="0"/>
          <c:showSerName val="0"/>
          <c:showPercent val="0"/>
          <c:showBubbleSize val="0"/>
        </c:dLbls>
        <c:gapWidth val="150"/>
        <c:axId val="110175360"/>
        <c:axId val="110176896"/>
      </c:barChart>
      <c:catAx>
        <c:axId val="1101753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176896"/>
        <c:crosses val="autoZero"/>
        <c:auto val="1"/>
        <c:lblAlgn val="ctr"/>
        <c:lblOffset val="100"/>
        <c:noMultiLvlLbl val="0"/>
      </c:catAx>
      <c:valAx>
        <c:axId val="1101768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1753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1.03</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0.1</c:v>
                </c:pt>
                <c:pt idx="1">
                  <c:v>0.02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0</c:v>
                </c:pt>
                <c:pt idx="1">
                  <c:v>99.15</c:v>
                </c:pt>
              </c:numCache>
            </c:numRef>
          </c:val>
        </c:ser>
        <c:ser>
          <c:idx val="1"/>
          <c:order val="1"/>
          <c:tx>
            <c:strRef>
              <c:f>Sheet1!$C$1</c:f>
              <c:strCache>
                <c:ptCount val="1"/>
                <c:pt idx="0">
                  <c:v>列1</c:v>
                </c:pt>
              </c:strCache>
            </c:strRef>
          </c:tx>
          <c:invertIfNegative val="0"/>
          <c:dLbls>
            <c:delete val="1"/>
          </c:dLbls>
          <c:cat>
            <c:strRef>
              <c:f>Sheet1!$A$2:$A$3</c:f>
              <c:strCache>
                <c:ptCount val="2"/>
                <c:pt idx="0">
                  <c:v>2018年收入</c:v>
                </c:pt>
                <c:pt idx="1">
                  <c:v>2019年收入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2018年收入</c:v>
                </c:pt>
                <c:pt idx="1">
                  <c:v>2019年收入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44537344"/>
        <c:axId val="44538880"/>
      </c:barChart>
      <c:catAx>
        <c:axId val="4453734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38880"/>
        <c:crosses val="autoZero"/>
        <c:auto val="1"/>
        <c:lblAlgn val="ctr"/>
        <c:lblOffset val="100"/>
        <c:noMultiLvlLbl val="0"/>
      </c:catAx>
      <c:valAx>
        <c:axId val="4453888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373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2018年支出</c:v>
                </c:pt>
                <c:pt idx="1">
                  <c:v>2019年支出</c:v>
                </c:pt>
              </c:strCache>
            </c:strRef>
          </c:cat>
          <c:val>
            <c:numRef>
              <c:f>Sheet1!$B$2:$B$3</c:f>
              <c:numCache>
                <c:formatCode>General</c:formatCode>
                <c:ptCount val="2"/>
                <c:pt idx="0">
                  <c:v>0</c:v>
                </c:pt>
                <c:pt idx="1">
                  <c:v>99.15</c:v>
                </c:pt>
              </c:numCache>
            </c:numRef>
          </c:val>
        </c:ser>
        <c:ser>
          <c:idx val="1"/>
          <c:order val="1"/>
          <c:tx>
            <c:strRef>
              <c:f>Sheet1!$C$1</c:f>
              <c:strCache>
                <c:ptCount val="1"/>
                <c:pt idx="0">
                  <c:v>列1</c:v>
                </c:pt>
              </c:strCache>
            </c:strRef>
          </c:tx>
          <c:invertIfNegative val="0"/>
          <c:dLbls>
            <c:delete val="1"/>
          </c:dLbls>
          <c:cat>
            <c:strRef>
              <c:f>Sheet1!$A$2:$A$3</c:f>
              <c:strCache>
                <c:ptCount val="2"/>
                <c:pt idx="0">
                  <c:v>2018年支出</c:v>
                </c:pt>
                <c:pt idx="1">
                  <c:v>2019年支出</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2018年支出</c:v>
                </c:pt>
                <c:pt idx="1">
                  <c:v>2019年支出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44551552"/>
        <c:axId val="44561536"/>
      </c:barChart>
      <c:catAx>
        <c:axId val="4455155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61536"/>
        <c:crosses val="autoZero"/>
        <c:auto val="1"/>
        <c:lblAlgn val="ctr"/>
        <c:lblOffset val="100"/>
        <c:noMultiLvlLbl val="0"/>
      </c:catAx>
      <c:valAx>
        <c:axId val="4456153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51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99.15</c:v>
                </c:pt>
                <c:pt idx="1">
                  <c:v>0</c:v>
                </c:pt>
                <c:pt idx="2">
                  <c:v>0</c:v>
                </c:pt>
                <c:pt idx="3">
                  <c:v>14.22</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2019年支出合计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经营支出</c:v>
                </c:pt>
              </c:strCache>
            </c:strRef>
          </c:cat>
          <c:val>
            <c:numRef>
              <c:f>Sheet1!$B$2:$B$5</c:f>
              <c:numCache>
                <c:formatCode>General</c:formatCode>
                <c:ptCount val="4"/>
                <c:pt idx="0">
                  <c:v>99.15</c:v>
                </c:pt>
                <c:pt idx="1">
                  <c:v>0</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2018年财政拨款收入</c:v>
                </c:pt>
                <c:pt idx="1">
                  <c:v>2019年财政拨款收入</c:v>
                </c:pt>
              </c:strCache>
            </c:strRef>
          </c:cat>
          <c:val>
            <c:numRef>
              <c:f>Sheet1!$B$2:$B$3</c:f>
              <c:numCache>
                <c:formatCode>General</c:formatCode>
                <c:ptCount val="2"/>
                <c:pt idx="0">
                  <c:v>0</c:v>
                </c:pt>
                <c:pt idx="1">
                  <c:v>84.93</c:v>
                </c:pt>
              </c:numCache>
            </c:numRef>
          </c:val>
        </c:ser>
        <c:ser>
          <c:idx val="1"/>
          <c:order val="1"/>
          <c:tx>
            <c:strRef>
              <c:f>Sheet1!$C$1</c:f>
              <c:strCache>
                <c:ptCount val="1"/>
                <c:pt idx="0">
                  <c:v>列1</c:v>
                </c:pt>
              </c:strCache>
            </c:strRef>
          </c:tx>
          <c:invertIfNegative val="0"/>
          <c:dLbls>
            <c:delete val="1"/>
          </c:dLbls>
          <c:cat>
            <c:strRef>
              <c:f>Sheet1!$A$2:$A$3</c:f>
              <c:strCache>
                <c:ptCount val="2"/>
                <c:pt idx="0">
                  <c:v>2018年财政拨款收入</c:v>
                </c:pt>
                <c:pt idx="1">
                  <c:v>2019年财政拨款收入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2018年财政拨款收入</c:v>
                </c:pt>
                <c:pt idx="1">
                  <c:v>2019年财政拨款收入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37025280"/>
        <c:axId val="37026816"/>
      </c:barChart>
      <c:catAx>
        <c:axId val="37025280"/>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026816"/>
        <c:crosses val="autoZero"/>
        <c:auto val="1"/>
        <c:lblAlgn val="ctr"/>
        <c:lblOffset val="100"/>
        <c:noMultiLvlLbl val="0"/>
      </c:catAx>
      <c:valAx>
        <c:axId val="3702681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0252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4"/>
          <c:h val="0.763853838349927"/>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2018年财政拨款支出</c:v>
                </c:pt>
                <c:pt idx="1">
                  <c:v>2019年财政拨款支出</c:v>
                </c:pt>
              </c:strCache>
            </c:strRef>
          </c:cat>
          <c:val>
            <c:numRef>
              <c:f>Sheet1!$B$2:$B$3</c:f>
              <c:numCache>
                <c:formatCode>General</c:formatCode>
                <c:ptCount val="2"/>
                <c:pt idx="0">
                  <c:v>0</c:v>
                </c:pt>
                <c:pt idx="1">
                  <c:v>84.93</c:v>
                </c:pt>
              </c:numCache>
            </c:numRef>
          </c:val>
        </c:ser>
        <c:dLbls>
          <c:showLegendKey val="0"/>
          <c:showVal val="0"/>
          <c:showCatName val="0"/>
          <c:showSerName val="0"/>
          <c:showPercent val="0"/>
          <c:showBubbleSize val="0"/>
        </c:dLbls>
        <c:gapWidth val="150"/>
        <c:overlap val="100"/>
        <c:axId val="87504768"/>
        <c:axId val="87506304"/>
      </c:barChart>
      <c:catAx>
        <c:axId val="8750476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506304"/>
        <c:crosses val="autoZero"/>
        <c:auto val="1"/>
        <c:lblAlgn val="ctr"/>
        <c:lblOffset val="100"/>
        <c:noMultiLvlLbl val="0"/>
      </c:catAx>
      <c:valAx>
        <c:axId val="8750630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50476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0</c:v>
                </c:pt>
              </c:numCache>
            </c:numRef>
          </c:val>
        </c:ser>
        <c:ser>
          <c:idx val="1"/>
          <c:order val="1"/>
          <c:tx>
            <c:strRef>
              <c:f>Sheet1!$C$1</c:f>
              <c:strCache>
                <c:ptCount val="1"/>
                <c:pt idx="0">
                  <c:v>2019年财政拨款支出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84.93</c:v>
                </c:pt>
              </c:numCache>
            </c:numRef>
          </c:val>
        </c:ser>
        <c:ser>
          <c:idx val="2"/>
          <c:order val="2"/>
          <c:tx>
            <c:strRef>
              <c:f>Sheet1!$D$1</c:f>
              <c:strCache>
                <c:ptCount val="1"/>
                <c:pt idx="0">
                  <c:v>2019年总支出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99.15</c:v>
                </c:pt>
              </c:numCache>
            </c:numRef>
          </c:val>
        </c:ser>
        <c:dLbls>
          <c:showLegendKey val="0"/>
          <c:showVal val="0"/>
          <c:showCatName val="0"/>
          <c:showSerName val="0"/>
          <c:showPercent val="0"/>
          <c:showBubbleSize val="0"/>
        </c:dLbls>
        <c:gapWidth val="150"/>
        <c:axId val="91242496"/>
        <c:axId val="91244032"/>
      </c:barChart>
      <c:catAx>
        <c:axId val="9124249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244032"/>
        <c:crosses val="autoZero"/>
        <c:auto val="1"/>
        <c:lblAlgn val="ctr"/>
        <c:lblOffset val="100"/>
        <c:noMultiLvlLbl val="0"/>
      </c:catAx>
      <c:valAx>
        <c:axId val="9124403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2424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1220</Words>
  <Characters>6957</Characters>
  <Lines>57</Lines>
  <Paragraphs>16</Paragraphs>
  <TotalTime>21</TotalTime>
  <ScaleCrop>false</ScaleCrop>
  <LinksUpToDate>false</LinksUpToDate>
  <CharactersWithSpaces>8161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2020-11-30T11:35:00Z</dcterms:created>
  <dc:creator>Administrator</dc:creator>
  <cp:lastModifiedBy>Lenovo</cp:lastModifiedBy>
  <cp:lastPrinted>2020-12-01T02:14:00Z</cp:lastPrinted>
  <dcterms:modified xsi:type="dcterms:W3CDTF">2020-12-03T06:41:35Z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