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杨陵区档案馆2019年部门决算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pPr>
      <w:r>
        <w:rPr>
          <w:rFonts w:hint="eastAsia" w:ascii="黑体" w:hAnsi="宋体" w:eastAsia="黑体"/>
          <w:color w:val="000000"/>
          <w:kern w:val="0"/>
          <w:sz w:val="32"/>
          <w:szCs w:val="32"/>
        </w:rPr>
        <w:t xml:space="preserve">第一部分 </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 xml:space="preserve">第三部分 </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杨陵区档案馆主要负责宣传、贯彻执行《中华人民共和国档案法》及党和国家有关档案工作的方针、政策，按照统一领导、分级管理的原则对全区档案事业实行统筹规划，制定全区档案工作规范性文件并负责组织实施；依法指导、监督、检查、协调全区机关、党派、团体、企事业单位和其他组织的档案工作，查处档案违法案件；组织开展全区档案宣传、教育培训、专业技术职务评聘工作，负责研究应用现代化科学技术管理保护档案；依照国家有关规定，负责接收、征集、整理、保管全区机关、党派、团体、企事业单位和其他组织的重要档案和涉及本区各个方面的珍贵历史资料，确保档案资料的安全；开展档案编研、开发利用工作，开发档案信息资源，依法向社会开放档案；负责档案目录录入工作，建立档案信息网络。负责地方志的资料收集编纂工作。</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40" w:firstLineChars="200"/>
        <w:jc w:val="left"/>
        <w:rPr>
          <w:rFonts w:ascii="楷体" w:hAnsi="楷体" w:eastAsia="楷体" w:cs="楷体"/>
          <w:b/>
          <w:bCs/>
          <w:color w:val="000000"/>
          <w:kern w:val="0"/>
          <w:sz w:val="32"/>
          <w:szCs w:val="32"/>
        </w:rPr>
      </w:pPr>
      <w:r>
        <w:rPr>
          <w:rFonts w:hint="eastAsia" w:ascii="仿宋_GB2312" w:hAnsi="仿宋_GB2312" w:eastAsia="仿宋_GB2312" w:cs="仿宋_GB2312"/>
          <w:sz w:val="32"/>
          <w:szCs w:val="32"/>
        </w:rPr>
        <w:t>区档案馆下设：办公室、财务室、地方志办公室、查阅室、信息化办公室。</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纳入2019年本部门决算编制范围的单位共1个，</w:t>
      </w:r>
      <w:bookmarkStart w:id="0" w:name="_Hlk52218286"/>
      <w:r>
        <w:rPr>
          <w:rFonts w:hint="eastAsia" w:ascii="仿宋_GB2312" w:hAnsi="仿宋_GB2312" w:eastAsia="仿宋_GB2312" w:cs="仿宋_GB2312"/>
          <w:sz w:val="32"/>
          <w:szCs w:val="32"/>
        </w:rPr>
        <w:t>包括部门本级（机关）决算</w:t>
      </w:r>
      <w:bookmarkEnd w:id="0"/>
      <w:r>
        <w:rPr>
          <w:rFonts w:hint="eastAsia" w:ascii="仿宋_GB2312" w:hAnsi="仿宋_GB2312" w:eastAsia="仿宋_GB2312" w:cs="仿宋_GB2312"/>
          <w:sz w:val="32"/>
          <w:szCs w:val="32"/>
        </w:rPr>
        <w:t>，无下属二级预算单位：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cs="宋体" w:asciiTheme="majorEastAsia" w:hAnsiTheme="majorEastAsia" w:eastAsiaTheme="majorEastAsia"/>
                <w:color w:val="2B2B2B"/>
                <w:kern w:val="0"/>
                <w:sz w:val="30"/>
                <w:szCs w:val="30"/>
              </w:rPr>
              <w:t>杨陵区档案馆（本级）</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截止2019年底，本部门人员编制9人，其中行政编制0人、事业编制9人；实有人员6人，其中行政0人、事业6人。单位管理的离退休人员6人。</w:t>
      </w:r>
    </w:p>
    <w:p>
      <w:pPr>
        <w:ind w:firstLine="640"/>
        <w:rPr>
          <w:rFonts w:ascii="仿宋_GB2312" w:hAnsi="仿宋_GB2312" w:eastAsia="仿宋_GB2312" w:cs="仿宋_GB2312"/>
          <w:sz w:val="32"/>
          <w:szCs w:val="32"/>
        </w:rPr>
      </w:pPr>
      <w:r>
        <w:drawing>
          <wp:inline distT="0" distB="0" distL="0" distR="0">
            <wp:extent cx="4572000" cy="27432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本年无发生“三公”经费及会议费、培训费支出</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kern w:val="0"/>
                <w:sz w:val="24"/>
              </w:rPr>
              <w:t>无政府性基金决算收支</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编制部门：杨陵区档案馆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133.90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133.90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133.90</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133.90</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133.90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133.90</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编制部门：杨陵区档案馆                                                金额单位：万元</w:t>
      </w:r>
    </w:p>
    <w:tbl>
      <w:tblPr>
        <w:tblStyle w:val="7"/>
        <w:tblW w:w="8867" w:type="dxa"/>
        <w:tblInd w:w="0" w:type="dxa"/>
        <w:tblLayout w:type="fixed"/>
        <w:tblCellMar>
          <w:top w:w="15" w:type="dxa"/>
          <w:left w:w="15" w:type="dxa"/>
          <w:bottom w:w="15" w:type="dxa"/>
          <w:right w:w="15" w:type="dxa"/>
        </w:tblCellMar>
      </w:tblPr>
      <w:tblGrid>
        <w:gridCol w:w="927"/>
        <w:gridCol w:w="755"/>
        <w:gridCol w:w="885"/>
        <w:gridCol w:w="850"/>
        <w:gridCol w:w="71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133.90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133.90</w:t>
            </w: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一般公共服务</w:t>
            </w:r>
          </w:p>
          <w:p>
            <w:pPr>
              <w:jc w:val="left"/>
              <w:rPr>
                <w:rFonts w:ascii="宋体" w:hAnsi="宋体" w:cs="宋体"/>
                <w:color w:val="000000"/>
                <w:szCs w:val="21"/>
              </w:rPr>
            </w:pPr>
            <w:r>
              <w:rPr>
                <w:rFonts w:hint="eastAsia" w:ascii="宋体" w:hAnsi="宋体" w:cs="宋体"/>
                <w:color w:val="000000"/>
                <w:kern w:val="0"/>
                <w:szCs w:val="21"/>
              </w:rPr>
              <w:t>支出</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133.90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133.90</w:t>
            </w: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20126</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档案事务</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133.90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133.90</w:t>
            </w: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2012601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114.55</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114.55</w:t>
            </w: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2012699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其他档案事务支出</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19.35</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19.35</w:t>
            </w: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编制部门：杨陵区档案馆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133.90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114.55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19.35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一般公共服务</w:t>
            </w:r>
          </w:p>
          <w:p>
            <w:pPr>
              <w:jc w:val="left"/>
              <w:rPr>
                <w:rFonts w:ascii="宋体" w:hAnsi="宋体" w:cs="宋体"/>
                <w:color w:val="000000"/>
                <w:szCs w:val="21"/>
              </w:rPr>
            </w:pPr>
            <w:r>
              <w:rPr>
                <w:rFonts w:hint="eastAsia" w:ascii="宋体" w:hAnsi="宋体" w:cs="宋体"/>
                <w:color w:val="000000"/>
                <w:kern w:val="0"/>
                <w:szCs w:val="21"/>
              </w:rPr>
              <w:t>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133.90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114.55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19.35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20626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档案事务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133.90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114.55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19.35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2012601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114.55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114.55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2012699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其他档案事务支出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19.35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19.35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杨陵区档案馆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133.90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133.90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133.90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color w:val="000000"/>
                <w:kern w:val="0"/>
                <w:szCs w:val="21"/>
              </w:rPr>
              <w:t>133.90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133.90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133.90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kern w:val="0"/>
                <w:szCs w:val="21"/>
              </w:rPr>
            </w:pPr>
            <w:r>
              <w:rPr>
                <w:rFonts w:hint="eastAsia" w:ascii="宋体" w:hAnsi="宋体" w:cs="宋体"/>
                <w:b/>
                <w:color w:val="000000"/>
                <w:kern w:val="0"/>
                <w:szCs w:val="21"/>
              </w:rPr>
              <w:t>133.90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133.90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133.90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643" w:firstLineChars="200"/>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杨陵区档案馆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133.90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114.55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107.67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6.88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19.35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一般公共服务</w:t>
            </w:r>
          </w:p>
          <w:p>
            <w:pPr>
              <w:widowControl/>
              <w:jc w:val="center"/>
              <w:textAlignment w:val="center"/>
              <w:rPr>
                <w:rFonts w:ascii="宋体" w:hAnsi="宋体" w:cs="宋体"/>
                <w:color w:val="000000"/>
                <w:szCs w:val="21"/>
              </w:rPr>
            </w:pPr>
            <w:r>
              <w:rPr>
                <w:rFonts w:hint="eastAsia" w:ascii="宋体" w:hAnsi="宋体" w:cs="宋体"/>
                <w:color w:val="000000"/>
                <w:kern w:val="0"/>
                <w:szCs w:val="21"/>
              </w:rPr>
              <w:t>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133.90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114.55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107.67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6.88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19.35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20126</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档案事务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133.90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114.55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107.67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6.88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19.35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2012601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114.55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114.55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107.67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6.88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2012699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其他档案事务支出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19.35</w:t>
            </w:r>
          </w:p>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19.35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编制部门：杨陵区档案馆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3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585"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114.55</w:t>
            </w:r>
          </w:p>
        </w:tc>
        <w:tc>
          <w:tcPr>
            <w:tcW w:w="1437"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107.67</w:t>
            </w: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6.88</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8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87.64</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87.64</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8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27.91</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27.91</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8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24.82</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24.82</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8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Cs w:val="21"/>
              </w:rPr>
            </w:pPr>
            <w:r>
              <w:rPr>
                <w:rFonts w:hint="eastAsia" w:ascii="宋体" w:hAnsi="宋体" w:cs="宋体"/>
                <w:color w:val="000000"/>
                <w:szCs w:val="21"/>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16</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16</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69"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kern w:val="0"/>
                <w:szCs w:val="21"/>
              </w:rPr>
            </w:pPr>
            <w:r>
              <w:rPr>
                <w:rFonts w:hint="eastAsia" w:ascii="宋体" w:hAnsi="宋体" w:cs="宋体"/>
                <w:color w:val="000000"/>
                <w:kern w:val="0"/>
                <w:szCs w:val="21"/>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伙食补助费</w:t>
            </w:r>
          </w:p>
          <w:p>
            <w:pPr>
              <w:widowControl/>
              <w:spacing w:line="300" w:lineRule="exact"/>
              <w:jc w:val="center"/>
              <w:textAlignment w:val="center"/>
              <w:rPr>
                <w:rFonts w:ascii="宋体" w:hAnsi="宋体" w:cs="宋体"/>
                <w:color w:val="000000"/>
                <w:kern w:val="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1.77</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1.77</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7.92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7.92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8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kern w:val="0"/>
                <w:szCs w:val="21"/>
              </w:rPr>
            </w:pPr>
            <w:r>
              <w:rPr>
                <w:rFonts w:hint="eastAsia" w:ascii="宋体" w:hAnsi="宋体" w:cs="宋体"/>
                <w:color w:val="000000"/>
                <w:kern w:val="0"/>
                <w:szCs w:val="21"/>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8.59</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8.59</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8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kern w:val="0"/>
                <w:szCs w:val="21"/>
              </w:rPr>
            </w:pPr>
            <w:r>
              <w:rPr>
                <w:rFonts w:hint="eastAsia" w:ascii="宋体" w:hAnsi="宋体" w:cs="宋体"/>
                <w:color w:val="000000"/>
                <w:kern w:val="0"/>
                <w:szCs w:val="21"/>
              </w:rPr>
              <w:t>30199</w:t>
            </w:r>
          </w:p>
        </w:tc>
        <w:tc>
          <w:tcPr>
            <w:tcW w:w="204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其他工资福利支出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0.64</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0.64</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8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6.88</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6.88</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8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0.9</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0.9</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8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kern w:val="0"/>
                <w:szCs w:val="21"/>
              </w:rPr>
            </w:pPr>
            <w:r>
              <w:rPr>
                <w:rFonts w:hint="eastAsia" w:ascii="宋体" w:hAnsi="宋体" w:cs="宋体"/>
                <w:color w:val="000000"/>
                <w:kern w:val="0"/>
                <w:szCs w:val="21"/>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0.14</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0.14</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8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kern w:val="0"/>
                <w:szCs w:val="21"/>
              </w:rPr>
            </w:pPr>
            <w:r>
              <w:rPr>
                <w:rFonts w:hint="eastAsia" w:ascii="宋体" w:hAnsi="宋体" w:cs="宋体"/>
                <w:color w:val="000000"/>
                <w:kern w:val="0"/>
                <w:szCs w:val="21"/>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1.28</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1.28</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8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kern w:val="0"/>
                <w:szCs w:val="21"/>
              </w:rPr>
            </w:pPr>
            <w:r>
              <w:rPr>
                <w:rFonts w:hint="eastAsia" w:ascii="宋体" w:hAnsi="宋体" w:cs="宋体"/>
                <w:color w:val="000000"/>
                <w:kern w:val="0"/>
                <w:szCs w:val="21"/>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0.03</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0.03</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8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kern w:val="0"/>
                <w:szCs w:val="21"/>
              </w:rPr>
            </w:pPr>
            <w:r>
              <w:rPr>
                <w:rFonts w:hint="eastAsia" w:ascii="宋体" w:hAnsi="宋体" w:cs="宋体"/>
                <w:color w:val="000000"/>
                <w:kern w:val="0"/>
                <w:szCs w:val="21"/>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劳务费</w:t>
            </w:r>
          </w:p>
          <w:p>
            <w:pPr>
              <w:spacing w:line="300" w:lineRule="exact"/>
              <w:jc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0.12</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0.12</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8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工会经费</w:t>
            </w:r>
          </w:p>
          <w:p>
            <w:pPr>
              <w:spacing w:line="300" w:lineRule="exact"/>
              <w:jc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1.03</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1.03</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8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其他交通费用</w:t>
            </w:r>
          </w:p>
          <w:p>
            <w:pPr>
              <w:spacing w:line="300" w:lineRule="exact"/>
              <w:jc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3.06</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3.06</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8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0.31</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0.31</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r>
              <w:rPr>
                <w:rFonts w:hint="eastAsia"/>
              </w:rPr>
              <w:t>303</w:t>
            </w:r>
          </w:p>
        </w:tc>
        <w:tc>
          <w:tcPr>
            <w:tcW w:w="204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Cs w:val="21"/>
              </w:rPr>
            </w:pPr>
            <w:r>
              <w:rPr>
                <w:rFonts w:hint="eastAsia" w:ascii="宋体" w:hAnsi="宋体" w:cs="宋体"/>
                <w:color w:val="000000"/>
                <w:szCs w:val="21"/>
              </w:rPr>
              <w:t>对个人和家庭的补助支出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20.03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20.03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30304</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抚恤金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18．18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18.18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1.81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1.81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0.05</w:t>
            </w: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210"/>
              <w:jc w:val="center"/>
              <w:rPr>
                <w:rFonts w:ascii="宋体" w:hAnsi="宋体" w:cs="宋体"/>
                <w:color w:val="000000"/>
                <w:szCs w:val="21"/>
              </w:rPr>
            </w:pPr>
            <w:r>
              <w:rPr>
                <w:rFonts w:hint="eastAsia" w:ascii="宋体" w:hAnsi="宋体" w:cs="宋体"/>
                <w:color w:val="000000"/>
                <w:szCs w:val="21"/>
              </w:rPr>
              <w:t xml:space="preserve"> 0.05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ind w:firstLine="1606" w:firstLineChars="500"/>
        <w:rPr>
          <w:rFonts w:ascii="宋体" w:hAns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杨陵区档案馆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0.69</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0.69</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ind w:firstLine="1285" w:firstLineChars="400"/>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杨陵区档案馆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2019年总收入133.90万元，较上年116.96万元增长16.94万元增长14.48%，主要原因工资调整工资福利支出增加、项目支出增加。</w:t>
      </w:r>
    </w:p>
    <w:p>
      <w:pPr>
        <w:widowControl/>
        <w:ind w:firstLine="420" w:firstLineChars="200"/>
        <w:jc w:val="left"/>
        <w:rPr>
          <w:rFonts w:ascii="仿宋_GB2312" w:hAnsi="仿宋" w:eastAsia="仿宋_GB2312"/>
          <w:sz w:val="32"/>
          <w:szCs w:val="32"/>
        </w:rPr>
      </w:pPr>
      <w:r>
        <w:drawing>
          <wp:inline distT="0" distB="0" distL="0" distR="0">
            <wp:extent cx="4572000" cy="27432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2019年总支出133.90万元，较上年116.96万元增长16.94万元增长14.48%，主要原因工资调整工资福利支出增加、项目支出增加。</w:t>
      </w:r>
    </w:p>
    <w:p>
      <w:pPr>
        <w:widowControl/>
        <w:spacing w:line="360" w:lineRule="auto"/>
        <w:ind w:firstLine="420" w:firstLineChars="200"/>
        <w:jc w:val="left"/>
        <w:rPr>
          <w:rFonts w:ascii="仿宋_GB2312" w:hAnsi="仿宋" w:eastAsia="仿宋_GB2312"/>
          <w:sz w:val="32"/>
          <w:szCs w:val="32"/>
        </w:rPr>
      </w:pPr>
      <w:r>
        <w:drawing>
          <wp:inline distT="0" distB="0" distL="0" distR="0">
            <wp:extent cx="4572000" cy="2743200"/>
            <wp:effectExtent l="19050" t="0" r="1905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rPr>
        <w:t>133.90万</w:t>
      </w:r>
      <w:r>
        <w:rPr>
          <w:rFonts w:ascii="仿宋_GB2312" w:hAnsi="宋体" w:eastAsia="仿宋_GB2312" w:cs="仿宋_GB2312"/>
          <w:color w:val="000000"/>
          <w:kern w:val="0"/>
          <w:sz w:val="32"/>
          <w:szCs w:val="32"/>
        </w:rPr>
        <w:t>元，其中：财政拨款收入</w:t>
      </w:r>
      <w:r>
        <w:rPr>
          <w:rFonts w:hint="eastAsia" w:ascii="仿宋_GB2312" w:hAnsi="宋体" w:eastAsia="仿宋_GB2312" w:cs="仿宋_GB2312"/>
          <w:color w:val="000000"/>
          <w:kern w:val="0"/>
          <w:sz w:val="32"/>
          <w:szCs w:val="32"/>
        </w:rPr>
        <w:t>133.90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 xml:space="preserve">    </w:t>
      </w:r>
      <w:r>
        <w:drawing>
          <wp:inline distT="0" distB="0" distL="0" distR="0">
            <wp:extent cx="4572000" cy="27432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420" w:firstLineChars="200"/>
        <w:jc w:val="left"/>
      </w:pPr>
    </w:p>
    <w:p>
      <w:pPr>
        <w:numPr>
          <w:ilvl w:val="0"/>
          <w:numId w:val="1"/>
        </w:numPr>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支出决算情况说明  </w:t>
      </w:r>
    </w:p>
    <w:p>
      <w:pPr>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rPr>
        <w:t>133.9</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114.55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85.55</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19.35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14.45</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 xml:space="preserve"> </w:t>
      </w:r>
      <w:r>
        <w:rPr>
          <w:rFonts w:ascii="仿宋_GB2312" w:hAnsi="宋体" w:eastAsia="仿宋_GB2312" w:cs="仿宋_GB2312"/>
          <w:color w:val="000000"/>
          <w:kern w:val="0"/>
          <w:sz w:val="32"/>
          <w:szCs w:val="32"/>
        </w:rPr>
        <w:t xml:space="preserve">    </w:t>
      </w:r>
      <w:r>
        <w:drawing>
          <wp:inline distT="0" distB="0" distL="0" distR="0">
            <wp:extent cx="4572000" cy="274320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收入133.9万元，较上年114.56万元增长16.88%，主要原因工资调整工资福利支出增加、项目支出增加。</w:t>
      </w:r>
    </w:p>
    <w:p>
      <w:pPr>
        <w:widowControl/>
        <w:ind w:firstLine="1260" w:firstLineChars="600"/>
        <w:jc w:val="left"/>
        <w:rPr>
          <w:rFonts w:ascii="仿宋_GB2312" w:hAnsi="仿宋" w:eastAsia="仿宋_GB2312"/>
          <w:sz w:val="32"/>
          <w:szCs w:val="32"/>
        </w:rPr>
      </w:pPr>
      <w:r>
        <w:drawing>
          <wp:inline distT="0" distB="0" distL="0" distR="0">
            <wp:extent cx="4572000" cy="2743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支出133.9万元，较上年114.56万元增长16.88%，主要原因工资调整工资福利支出增加、项目支出增加。</w:t>
      </w:r>
    </w:p>
    <w:p>
      <w:pPr>
        <w:widowControl/>
        <w:ind w:firstLine="1050" w:firstLineChars="500"/>
        <w:jc w:val="left"/>
        <w:rPr>
          <w:rFonts w:ascii="仿宋_GB2312" w:hAnsi="仿宋" w:eastAsia="仿宋_GB2312"/>
          <w:sz w:val="32"/>
          <w:szCs w:val="32"/>
        </w:rPr>
      </w:pPr>
      <w:r>
        <w:drawing>
          <wp:inline distT="0" distB="0" distL="0" distR="0">
            <wp:extent cx="4572000" cy="2600960"/>
            <wp:effectExtent l="4445" t="4445" r="14605" b="2349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仿宋" w:eastAsia="仿宋_GB2312"/>
          <w:sz w:val="32"/>
          <w:szCs w:val="32"/>
        </w:rPr>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rPr>
        <w:t>133.9</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相比，财政拨款支出增加</w:t>
      </w:r>
      <w:r>
        <w:rPr>
          <w:rFonts w:hint="eastAsia" w:ascii="仿宋_GB2312" w:hAnsi="宋体" w:eastAsia="仿宋_GB2312" w:cs="仿宋_GB2312"/>
          <w:color w:val="000000"/>
          <w:kern w:val="0"/>
          <w:sz w:val="32"/>
          <w:szCs w:val="32"/>
        </w:rPr>
        <w:t>19.34</w:t>
      </w:r>
      <w:r>
        <w:rPr>
          <w:rFonts w:ascii="仿宋_GB2312" w:hAnsi="宋体" w:eastAsia="仿宋_GB2312" w:cs="仿宋_GB2312"/>
          <w:color w:val="000000"/>
          <w:kern w:val="0"/>
          <w:sz w:val="32"/>
          <w:szCs w:val="32"/>
        </w:rPr>
        <w:t>万元，增长</w:t>
      </w:r>
      <w:r>
        <w:rPr>
          <w:rFonts w:hint="eastAsia" w:ascii="仿宋_GB2312" w:hAnsi="宋体" w:eastAsia="仿宋_GB2312" w:cs="仿宋_GB2312"/>
          <w:color w:val="000000"/>
          <w:kern w:val="0"/>
          <w:sz w:val="32"/>
          <w:szCs w:val="32"/>
        </w:rPr>
        <w:t>16.88</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仿宋" w:eastAsia="仿宋_GB2312"/>
          <w:sz w:val="32"/>
          <w:szCs w:val="32"/>
        </w:rPr>
        <w:t>工资调整工资福利支出增加、项目支出增加。</w:t>
      </w:r>
    </w:p>
    <w:p>
      <w:pPr>
        <w:widowControl/>
        <w:jc w:val="left"/>
      </w:pPr>
      <w:r>
        <w:rPr>
          <w:rFonts w:hint="eastAsia" w:ascii="仿宋_GB2312" w:hAnsi="宋体" w:eastAsia="仿宋_GB2312" w:cs="仿宋_GB2312"/>
          <w:color w:val="000000"/>
          <w:kern w:val="0"/>
          <w:sz w:val="32"/>
          <w:szCs w:val="32"/>
        </w:rPr>
        <w:t xml:space="preserve"> </w:t>
      </w:r>
      <w:r>
        <w:rPr>
          <w:rFonts w:ascii="仿宋_GB2312" w:hAnsi="宋体" w:eastAsia="仿宋_GB2312" w:cs="仿宋_GB2312"/>
          <w:color w:val="000000"/>
          <w:kern w:val="0"/>
          <w:sz w:val="32"/>
          <w:szCs w:val="32"/>
        </w:rPr>
        <w:t xml:space="preserve">     </w:t>
      </w:r>
      <w:r>
        <w:drawing>
          <wp:inline distT="0" distB="0" distL="0" distR="0">
            <wp:extent cx="4572000" cy="2514600"/>
            <wp:effectExtent l="4445" t="4445" r="1460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rPr>
        <w:t>133.90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133.90</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pPr>
      <w:r>
        <w:rPr>
          <w:rFonts w:ascii="仿宋_GB2312" w:hAnsi="宋体" w:eastAsia="仿宋_GB2312" w:cs="仿宋_GB2312"/>
          <w:b/>
          <w:color w:val="000000"/>
          <w:kern w:val="0"/>
          <w:sz w:val="32"/>
          <w:szCs w:val="32"/>
        </w:rPr>
        <w:t>1.一般公共服务支出（类）</w:t>
      </w:r>
      <w:r>
        <w:rPr>
          <w:rFonts w:hint="eastAsia" w:ascii="仿宋_GB2312" w:hAnsi="宋体" w:eastAsia="仿宋_GB2312" w:cs="仿宋_GB2312"/>
          <w:b/>
          <w:color w:val="000000"/>
          <w:kern w:val="0"/>
          <w:sz w:val="32"/>
          <w:szCs w:val="32"/>
        </w:rPr>
        <w:t>档案</w:t>
      </w:r>
      <w:r>
        <w:rPr>
          <w:rFonts w:ascii="仿宋_GB2312" w:hAnsi="宋体" w:eastAsia="仿宋_GB2312" w:cs="仿宋_GB2312"/>
          <w:b/>
          <w:color w:val="000000"/>
          <w:kern w:val="0"/>
          <w:sz w:val="32"/>
          <w:szCs w:val="32"/>
        </w:rPr>
        <w:t>事务（款）行政运行（项）</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114.55</w:t>
      </w:r>
      <w:r>
        <w:rPr>
          <w:rFonts w:ascii="仿宋_GB2312" w:hAnsi="宋体" w:eastAsia="仿宋_GB2312" w:cs="仿宋_GB2312"/>
          <w:color w:val="000000"/>
          <w:kern w:val="0"/>
          <w:sz w:val="32"/>
          <w:szCs w:val="32"/>
        </w:rPr>
        <w:t>万元，支出决算为114.55万元，完成年初预算的100%</w:t>
      </w:r>
      <w:r>
        <w:rPr>
          <w:rFonts w:hint="eastAsia" w:ascii="仿宋_GB2312" w:hAnsi="宋体" w:eastAsia="仿宋_GB2312" w:cs="仿宋_GB2312"/>
          <w:color w:val="000000"/>
          <w:kern w:val="0"/>
          <w:sz w:val="36"/>
          <w:szCs w:val="36"/>
        </w:rPr>
        <w:t>。</w:t>
      </w:r>
      <w:r>
        <w:rPr>
          <w:rFonts w:ascii="仿宋_GB2312" w:hAnsi="宋体" w:eastAsia="仿宋_GB2312" w:cs="仿宋_GB2312"/>
          <w:color w:val="000000"/>
          <w:kern w:val="0"/>
          <w:sz w:val="32"/>
          <w:szCs w:val="32"/>
        </w:rPr>
        <w:t xml:space="preserve"> </w:t>
      </w:r>
    </w:p>
    <w:p>
      <w:pPr>
        <w:widowControl/>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 xml:space="preserve"> </w:t>
      </w:r>
      <w:r>
        <w:rPr>
          <w:rFonts w:ascii="仿宋_GB2312" w:hAnsi="宋体" w:eastAsia="仿宋_GB2312" w:cs="仿宋_GB2312"/>
          <w:b/>
          <w:color w:val="000000"/>
          <w:kern w:val="0"/>
          <w:sz w:val="32"/>
          <w:szCs w:val="32"/>
        </w:rPr>
        <w:t xml:space="preserve">  2. 一般公共服务支出（类）</w:t>
      </w:r>
      <w:r>
        <w:rPr>
          <w:rFonts w:hint="eastAsia" w:ascii="仿宋_GB2312" w:hAnsi="宋体" w:eastAsia="仿宋_GB2312" w:cs="仿宋_GB2312"/>
          <w:b/>
          <w:color w:val="000000"/>
          <w:kern w:val="0"/>
          <w:sz w:val="32"/>
          <w:szCs w:val="32"/>
        </w:rPr>
        <w:t>档案</w:t>
      </w:r>
      <w:r>
        <w:rPr>
          <w:rFonts w:ascii="仿宋_GB2312" w:hAnsi="宋体" w:eastAsia="仿宋_GB2312" w:cs="仿宋_GB2312"/>
          <w:b/>
          <w:color w:val="000000"/>
          <w:kern w:val="0"/>
          <w:sz w:val="32"/>
          <w:szCs w:val="32"/>
        </w:rPr>
        <w:t>事务（款）</w:t>
      </w:r>
      <w:r>
        <w:rPr>
          <w:rFonts w:hint="eastAsia" w:ascii="仿宋_GB2312" w:hAnsi="宋体" w:eastAsia="仿宋_GB2312" w:cs="仿宋_GB2312"/>
          <w:b/>
          <w:color w:val="000000"/>
          <w:kern w:val="0"/>
          <w:sz w:val="32"/>
          <w:szCs w:val="32"/>
        </w:rPr>
        <w:t>其他档案事务支出</w:t>
      </w:r>
      <w:r>
        <w:rPr>
          <w:rFonts w:ascii="仿宋_GB2312" w:hAnsi="宋体" w:eastAsia="仿宋_GB2312" w:cs="仿宋_GB2312"/>
          <w:b/>
          <w:color w:val="000000"/>
          <w:kern w:val="0"/>
          <w:sz w:val="32"/>
          <w:szCs w:val="32"/>
        </w:rPr>
        <w:t>（项）</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19.35</w:t>
      </w:r>
      <w:r>
        <w:rPr>
          <w:rFonts w:ascii="仿宋_GB2312" w:hAnsi="宋体" w:eastAsia="仿宋_GB2312" w:cs="仿宋_GB2312"/>
          <w:color w:val="000000"/>
          <w:kern w:val="0"/>
          <w:sz w:val="32"/>
          <w:szCs w:val="32"/>
        </w:rPr>
        <w:t>万元，支出决算为19.35万元，完成年初预算的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年一般公共预算财政拨款基本支出114.55万元，包括：人员经费支出107.67万元和公用经费支出6.88万元。</w:t>
      </w:r>
    </w:p>
    <w:p>
      <w:pPr>
        <w:rPr>
          <w:rFonts w:ascii="仿宋_GB2312" w:hAnsi="宋体" w:eastAsia="仿宋_GB2312" w:cs="仿宋_GB2312"/>
          <w:b/>
          <w:bCs/>
          <w:color w:val="000000"/>
          <w:kern w:val="0"/>
          <w:sz w:val="32"/>
          <w:szCs w:val="32"/>
        </w:rPr>
      </w:pPr>
      <w:r>
        <w:rPr>
          <w:rFonts w:hint="eastAsia" w:ascii="仿宋_GB2312" w:hAnsi="宋体" w:eastAsia="仿宋_GB2312" w:cs="仿宋_GB2312"/>
          <w:b/>
          <w:bCs/>
          <w:color w:val="000000"/>
          <w:kern w:val="0"/>
          <w:sz w:val="32"/>
          <w:szCs w:val="32"/>
        </w:rPr>
        <w:t xml:space="preserve"> </w:t>
      </w:r>
      <w:r>
        <w:rPr>
          <w:rFonts w:ascii="仿宋_GB2312" w:hAnsi="宋体" w:eastAsia="仿宋_GB2312" w:cs="仿宋_GB2312"/>
          <w:b/>
          <w:bCs/>
          <w:color w:val="000000"/>
          <w:kern w:val="0"/>
          <w:sz w:val="32"/>
          <w:szCs w:val="32"/>
        </w:rPr>
        <w:t xml:space="preserve">  人员经费107.67</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基本工资27.91万元、津贴补贴24.82万元、奖金16万元、伙食补助费 1.77万元、机关事业单位基本养老保险缴费7.92万元、住房公积金8.59万元、其他工资福利支出0.64万元、抚恤金18.18万元、生活补助1.81万元、奖励金0.05万元。</w:t>
      </w:r>
    </w:p>
    <w:p>
      <w:pPr>
        <w:widowControl/>
        <w:ind w:firstLine="643" w:firstLineChars="200"/>
        <w:jc w:val="left"/>
        <w:rPr>
          <w:rFonts w:ascii="仿宋_GB2312" w:hAnsi="宋体" w:eastAsia="仿宋_GB2312" w:cs="仿宋_GB2312"/>
          <w:b/>
          <w:bCs/>
          <w:color w:val="000000"/>
          <w:kern w:val="0"/>
          <w:sz w:val="32"/>
          <w:szCs w:val="32"/>
        </w:rPr>
      </w:pPr>
      <w:r>
        <w:rPr>
          <w:rFonts w:ascii="仿宋_GB2312" w:hAnsi="宋体" w:eastAsia="仿宋_GB2312" w:cs="仿宋_GB2312"/>
          <w:b/>
          <w:bCs/>
          <w:color w:val="000000"/>
          <w:kern w:val="0"/>
          <w:sz w:val="32"/>
          <w:szCs w:val="32"/>
        </w:rPr>
        <w:t>公用经费6.88万元，</w:t>
      </w:r>
      <w:r>
        <w:rPr>
          <w:rFonts w:ascii="仿宋_GB2312" w:hAnsi="宋体" w:eastAsia="仿宋_GB2312" w:cs="仿宋_GB2312"/>
          <w:color w:val="000000"/>
          <w:kern w:val="0"/>
          <w:sz w:val="32"/>
          <w:szCs w:val="32"/>
        </w:rPr>
        <w:t>主要包括办公费0.9万元、水费0.14万元、邮电费1.28万元、差旅费0.03万元、劳务费0.12万元、工会经费1.03万元、其他交通费3.06万元、其他商品和服务支出0.31万元。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rPr>
        <w:t>0.69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减少0.69万元，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响应中央八项规定，规范公务接待。</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无变化。</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无变化。</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6"/>
          <w:szCs w:val="36"/>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无变化</w:t>
      </w:r>
      <w:r>
        <w:rPr>
          <w:rFonts w:hint="eastAsia" w:ascii="仿宋_GB2312" w:hAnsi="宋体" w:eastAsia="仿宋_GB2312" w:cs="仿宋_GB2312"/>
          <w:color w:val="000000"/>
          <w:kern w:val="0"/>
          <w:sz w:val="36"/>
          <w:szCs w:val="36"/>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rPr>
        <w:t>0批次，0人次，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0.69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减少0.69万元，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相应中央八项规定，规范公务接待。</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无变化。</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无变化。</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r>
        <w:rPr>
          <w:rFonts w:hint="eastAsia" w:ascii="楷体_GB2312" w:hAnsi="宋体" w:eastAsia="楷体_GB2312" w:cs="楷体_GB2312"/>
          <w:b/>
          <w:color w:val="000000"/>
          <w:kern w:val="0"/>
          <w:sz w:val="32"/>
          <w:szCs w:val="32"/>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rPr>
        <w:t>25</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rPr>
        <w:t>对 2019年</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个政府性基金预算项目支出开展绩效自评，共涉及资金</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万元，占政府性基金预算项目支出总额的</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根据年初设定的绩效目标，项目自评得分</w:t>
      </w:r>
      <w:r>
        <w:rPr>
          <w:rFonts w:hint="eastAsia" w:ascii="仿宋_GB2312" w:hAnsi="仿宋_GB2312" w:eastAsia="仿宋_GB2312" w:cs="仿宋_GB2312"/>
          <w:color w:val="000000"/>
          <w:kern w:val="0"/>
          <w:sz w:val="31"/>
          <w:szCs w:val="31"/>
        </w:rPr>
        <w:t>96</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19.35</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19.35</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rPr>
        <w:t>完成全区63个单位档案指导整理工作；满足全区档案装具需求；保障档案规范整理；完成档案信息化工作；完成杨陵年鉴编纂出版印刷工作。</w:t>
      </w:r>
    </w:p>
    <w:p>
      <w:pPr>
        <w:widowControl/>
        <w:ind w:firstLine="620" w:firstLineChars="200"/>
        <w:jc w:val="left"/>
      </w:pPr>
      <w:r>
        <w:rPr>
          <w:rFonts w:ascii="仿宋_GB2312" w:hAnsi="仿宋_GB2312" w:eastAsia="仿宋_GB2312" w:cs="仿宋_GB2312"/>
          <w:color w:val="000000"/>
          <w:kern w:val="0"/>
          <w:sz w:val="31"/>
          <w:szCs w:val="31"/>
        </w:rPr>
        <w:t>通过项目实施</w:t>
      </w:r>
      <w:r>
        <w:rPr>
          <w:rFonts w:hint="eastAsia" w:ascii="仿宋_GB2312" w:hAnsi="仿宋_GB2312" w:eastAsia="仿宋_GB2312" w:cs="仿宋_GB2312"/>
          <w:color w:val="000000"/>
          <w:kern w:val="0"/>
          <w:sz w:val="31"/>
          <w:szCs w:val="31"/>
        </w:rPr>
        <w:t>有效规范档案管理工作，提供档案利用率。</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因档案软件年限久，不能满足需要，档案软件需要进一步优化</w:t>
      </w:r>
      <w:r>
        <w:rPr>
          <w:rFonts w:ascii="仿宋_GB2312" w:hAnsi="仿宋_GB2312" w:eastAsia="仿宋_GB2312" w:cs="仿宋_GB2312"/>
          <w:color w:val="000000"/>
          <w:kern w:val="0"/>
          <w:sz w:val="31"/>
          <w:szCs w:val="31"/>
        </w:rPr>
        <w:t>。下一步改进措施</w:t>
      </w:r>
      <w:r>
        <w:rPr>
          <w:rFonts w:hint="eastAsia" w:ascii="仿宋_GB2312" w:hAnsi="仿宋_GB2312" w:eastAsia="仿宋_GB2312" w:cs="仿宋_GB2312"/>
          <w:color w:val="000000"/>
          <w:kern w:val="0"/>
          <w:sz w:val="31"/>
          <w:szCs w:val="31"/>
        </w:rPr>
        <w:t>：归集整理软件需求，更新升级信息软件。</w:t>
      </w:r>
    </w:p>
    <w:p>
      <w:pPr>
        <w:widowControl/>
        <w:jc w:val="left"/>
        <w:rPr>
          <w:rFonts w:ascii="仿宋_GB2312" w:hAnsi="仿宋_GB2312" w:eastAsia="仿宋_GB2312" w:cs="仿宋_GB2312"/>
          <w:color w:val="000000"/>
          <w:kern w:val="0"/>
          <w:sz w:val="31"/>
          <w:szCs w:val="31"/>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widowControl/>
        <w:jc w:val="left"/>
        <w:rPr>
          <w:rFonts w:ascii="楷体" w:hAnsi="楷体" w:eastAsia="楷体" w:cs="楷体"/>
          <w:sz w:val="32"/>
          <w:szCs w:val="32"/>
        </w:rPr>
      </w:pPr>
      <w:r>
        <w:rPr>
          <w:rFonts w:hint="eastAsia" w:ascii="楷体" w:hAnsi="楷体" w:eastAsia="楷体" w:cs="楷体"/>
          <w:sz w:val="32"/>
          <w:szCs w:val="32"/>
        </w:rPr>
        <w:object>
          <v:shape id="_x0000_i1025" o:spt="75" alt="" type="#_x0000_t75" style="height:608.7pt;width:462.65pt;" o:ole="t" filled="f" o:preferrelative="t" stroked="f" coordsize="21600,21600">
            <v:path/>
            <v:fill on="f" focussize="0,0"/>
            <v:stroke on="f"/>
            <v:imagedata r:id="rId14" o:title=""/>
            <o:lock v:ext="edit" aspectratio="t"/>
            <w10:wrap type="none"/>
            <w10:anchorlock/>
          </v:shape>
          <o:OLEObject Type="Embed" ProgID="Excel.Sheet.8" ShapeID="_x0000_i1025" DrawAspect="Content" ObjectID="_1468075725" r:id="rId13">
            <o:LockedField>false</o:LockedField>
          </o:OLEObject>
        </w:object>
      </w:r>
      <w:r>
        <w:rPr>
          <w:rFonts w:hint="eastAsia" w:ascii="楷体" w:hAnsi="楷体" w:eastAsia="楷体" w:cs="楷体"/>
          <w:sz w:val="32"/>
          <w:szCs w:val="32"/>
        </w:rPr>
        <w:object>
          <v:shape id="_x0000_i1026" o:spt="75" type="#_x0000_t75" style="height:601.35pt;width:462.65pt;" o:ole="t" filled="f" o:preferrelative="t" stroked="f" coordsize="21600,21600">
            <v:path/>
            <v:fill on="f" focussize="0,0"/>
            <v:stroke on="f" joinstyle="miter"/>
            <v:imagedata r:id="rId16" o:title=""/>
            <o:lock v:ext="edit" aspectratio="t"/>
            <w10:wrap type="none"/>
            <w10:anchorlock/>
          </v:shape>
          <o:OLEObject Type="Embed" ProgID="Excel.Sheet.8" ShapeID="_x0000_i1026" DrawAspect="Content" ObjectID="_1468075726" r:id="rId15">
            <o:LockedField>false</o:LockedField>
          </o:OLEObject>
        </w:object>
      </w:r>
      <w:r>
        <w:rPr>
          <w:rFonts w:hint="eastAsia" w:ascii="楷体" w:hAnsi="楷体" w:eastAsia="楷体" w:cs="楷体"/>
          <w:sz w:val="32"/>
          <w:szCs w:val="32"/>
        </w:rPr>
        <w:object>
          <v:shape id="_x0000_i1027" o:spt="75" alt="" type="#_x0000_t75" style="height:593.35pt;width:462.65pt;" o:ole="t" filled="f" o:preferrelative="t" stroked="f" coordsize="21600,21600">
            <v:path/>
            <v:fill on="f" focussize="0,0"/>
            <v:stroke on="f"/>
            <v:imagedata r:id="rId18" o:title=""/>
            <o:lock v:ext="edit" aspectratio="t"/>
            <w10:wrap type="none"/>
            <w10:anchorlock/>
          </v:shape>
          <o:OLEObject Type="Embed" ProgID="Excel.Sheet.8" ShapeID="_x0000_i1027" DrawAspect="Content" ObjectID="_1468075727" r:id="rId17">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8" o:spt="75" type="#_x0000_t75" style="height:594pt;width:462.65pt;" o:ole="t" filled="f" o:preferrelative="t" stroked="f" coordsize="21600,21600">
            <v:path/>
            <v:fill on="f" focussize="0,0"/>
            <v:stroke on="f" joinstyle="miter"/>
            <v:imagedata r:id="rId20" o:title=""/>
            <o:lock v:ext="edit" aspectratio="t"/>
            <w10:wrap type="none"/>
            <w10:anchorlock/>
          </v:shape>
          <o:OLEObject Type="Embed" ProgID="Excel.Sheet.8" ShapeID="_x0000_i1028" DrawAspect="Content" ObjectID="_1468075728" r:id="rId19">
            <o:LockedField>false</o:LockedField>
          </o:OLEObject>
        </w:object>
      </w: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p>
    <w:p>
      <w:pPr>
        <w:widowControl/>
        <w:jc w:val="center"/>
        <w:rPr>
          <w:rFonts w:ascii="楷体" w:hAnsi="楷体" w:eastAsia="楷体" w:cs="楷体"/>
          <w:sz w:val="32"/>
          <w:szCs w:val="32"/>
        </w:rPr>
      </w:pPr>
      <w:r>
        <w:rPr>
          <w:rFonts w:hint="eastAsia" w:ascii="楷体" w:hAnsi="楷体" w:eastAsia="楷体" w:cs="楷体"/>
          <w:sz w:val="32"/>
          <w:szCs w:val="32"/>
        </w:rPr>
        <w:object>
          <v:shape id="_x0000_i1029" o:spt="75" type="#_x0000_t75" style="height:1337.35pt;width:630.65pt;" o:ole="t" filled="f" o:preferrelative="t" stroked="f" coordsize="21600,21600">
            <v:path/>
            <v:fill on="f" focussize="0,0"/>
            <v:stroke on="f" joinstyle="miter"/>
            <v:imagedata r:id="rId22" o:title=""/>
            <o:lock v:ext="edit" aspectratio="t"/>
            <w10:wrap type="none"/>
            <w10:anchorlock/>
          </v:shape>
          <o:OLEObject Type="Embed" ProgID="Excel.Sheet.8" ShapeID="_x0000_i1029" DrawAspect="Content" ObjectID="_1468075729" r:id="rId21">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30" o:spt="75" type="#_x0000_t75" style="height:344pt;width:671.35pt;" o:ole="t" filled="f" o:preferrelative="t" stroked="f" coordsize="21600,21600">
            <v:path/>
            <v:fill on="f" focussize="0,0"/>
            <v:stroke on="f" joinstyle="miter"/>
            <v:imagedata r:id="rId24" o:title=""/>
            <o:lock v:ext="edit" aspectratio="t"/>
            <w10:wrap type="none"/>
            <w10:anchorlock/>
          </v:shape>
          <o:OLEObject Type="Embed" ProgID="Excel.Sheet.8" ShapeID="_x0000_i1030" DrawAspect="Content" ObjectID="_1468075730" r:id="rId23">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31" o:spt="75" alt="" type="#_x0000_t75" style="height:334pt;width:646.65pt;" o:ole="t" filled="f" o:preferrelative="t" stroked="f" coordsize="21600,21600">
            <v:path/>
            <v:fill on="f" focussize="0,0"/>
            <v:stroke on="f"/>
            <v:imagedata r:id="rId26" o:title=""/>
            <o:lock v:ext="edit" aspectratio="t"/>
            <w10:wrap type="none"/>
            <w10:anchorlock/>
          </v:shape>
          <o:OLEObject Type="Embed" ProgID="Excel.Sheet.8" ShapeID="_x0000_i1031" DrawAspect="Content" ObjectID="_1468075731" r:id="rId25">
            <o:LockedField>false</o:LockedField>
          </o:OLEObject>
        </w:object>
      </w:r>
      <w:bookmarkStart w:id="1" w:name="_GoBack"/>
      <w:bookmarkEnd w:id="1"/>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6.88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6.88</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预算数持平</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2019年本部门政府采购支出总额共9.35万元，其中政府采购货物类支出4.67万元、政府采购服务类支出4.68万元、政府采购工程类支出0万元。</w:t>
      </w:r>
      <w:r>
        <w:rPr>
          <w:rFonts w:ascii="仿宋_GB2312" w:hAnsi="宋体" w:eastAsia="仿宋_GB2312" w:cs="仿宋_GB2312"/>
          <w:color w:val="000000"/>
          <w:kern w:val="0"/>
          <w:sz w:val="32"/>
          <w:szCs w:val="32"/>
        </w:rPr>
        <w:t>授予中小企业合同金额</w:t>
      </w:r>
      <w:r>
        <w:rPr>
          <w:rFonts w:hint="eastAsia" w:ascii="仿宋_GB2312" w:hAnsi="宋体" w:eastAsia="仿宋_GB2312" w:cs="仿宋_GB2312"/>
          <w:color w:val="000000"/>
          <w:kern w:val="0"/>
          <w:sz w:val="32"/>
          <w:szCs w:val="32"/>
        </w:rPr>
        <w:t>9.35</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%，其中：授予小微企业合同金额</w:t>
      </w:r>
      <w:r>
        <w:rPr>
          <w:rFonts w:hint="eastAsia" w:ascii="仿宋_GB2312" w:hAnsi="宋体" w:eastAsia="仿宋_GB2312" w:cs="仿宋_GB2312"/>
          <w:color w:val="000000"/>
          <w:kern w:val="0"/>
          <w:sz w:val="32"/>
          <w:szCs w:val="32"/>
        </w:rPr>
        <w:t>9.35</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截至2019年末，本部门机关及所属单位共有车辆0辆；单价50万元以上的通用设备0台（套）；单价100万元以上的专用设备0台（套）。201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574EE"/>
    <w:multiLevelType w:val="singleLevel"/>
    <w:tmpl w:val="5F8574E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315"/>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1AA6038"/>
    <w:rsid w:val="00006DAE"/>
    <w:rsid w:val="00044322"/>
    <w:rsid w:val="00050E89"/>
    <w:rsid w:val="000822C0"/>
    <w:rsid w:val="00097612"/>
    <w:rsid w:val="000C3213"/>
    <w:rsid w:val="000E71F2"/>
    <w:rsid w:val="001272FA"/>
    <w:rsid w:val="00134E46"/>
    <w:rsid w:val="00146787"/>
    <w:rsid w:val="00155AE9"/>
    <w:rsid w:val="00164001"/>
    <w:rsid w:val="001D7568"/>
    <w:rsid w:val="001D780F"/>
    <w:rsid w:val="00221F87"/>
    <w:rsid w:val="002424C8"/>
    <w:rsid w:val="0027055B"/>
    <w:rsid w:val="002A7893"/>
    <w:rsid w:val="002C029A"/>
    <w:rsid w:val="00323FF7"/>
    <w:rsid w:val="00327A51"/>
    <w:rsid w:val="003364E9"/>
    <w:rsid w:val="00346E74"/>
    <w:rsid w:val="00367EEE"/>
    <w:rsid w:val="0038054D"/>
    <w:rsid w:val="00392C49"/>
    <w:rsid w:val="003C1C2F"/>
    <w:rsid w:val="00441BC6"/>
    <w:rsid w:val="00452E2E"/>
    <w:rsid w:val="00490F51"/>
    <w:rsid w:val="004936E4"/>
    <w:rsid w:val="004A0D16"/>
    <w:rsid w:val="004A3497"/>
    <w:rsid w:val="004B6D6E"/>
    <w:rsid w:val="004C116D"/>
    <w:rsid w:val="004C5578"/>
    <w:rsid w:val="004D6D01"/>
    <w:rsid w:val="004E6681"/>
    <w:rsid w:val="00507FD7"/>
    <w:rsid w:val="0051154E"/>
    <w:rsid w:val="00514CC3"/>
    <w:rsid w:val="005179FD"/>
    <w:rsid w:val="005440CF"/>
    <w:rsid w:val="00566B1E"/>
    <w:rsid w:val="005715BA"/>
    <w:rsid w:val="00583953"/>
    <w:rsid w:val="005A5ACC"/>
    <w:rsid w:val="005B20A6"/>
    <w:rsid w:val="005B3BBF"/>
    <w:rsid w:val="005B692D"/>
    <w:rsid w:val="005B6F3C"/>
    <w:rsid w:val="005E658A"/>
    <w:rsid w:val="00607AC7"/>
    <w:rsid w:val="00613E68"/>
    <w:rsid w:val="00621283"/>
    <w:rsid w:val="0065005E"/>
    <w:rsid w:val="00650B16"/>
    <w:rsid w:val="006A7A8A"/>
    <w:rsid w:val="006B7B8A"/>
    <w:rsid w:val="006C704D"/>
    <w:rsid w:val="006D4D4A"/>
    <w:rsid w:val="006F3078"/>
    <w:rsid w:val="00706423"/>
    <w:rsid w:val="00721DDC"/>
    <w:rsid w:val="00731DA6"/>
    <w:rsid w:val="007434E0"/>
    <w:rsid w:val="007452DF"/>
    <w:rsid w:val="00770D6C"/>
    <w:rsid w:val="007B1E54"/>
    <w:rsid w:val="007B32F2"/>
    <w:rsid w:val="007C2D42"/>
    <w:rsid w:val="007C3F29"/>
    <w:rsid w:val="007C5BB4"/>
    <w:rsid w:val="007D5DAD"/>
    <w:rsid w:val="007E71A4"/>
    <w:rsid w:val="008001E2"/>
    <w:rsid w:val="00813F4A"/>
    <w:rsid w:val="008149E3"/>
    <w:rsid w:val="00884E6C"/>
    <w:rsid w:val="00885454"/>
    <w:rsid w:val="008A40B5"/>
    <w:rsid w:val="008C5B95"/>
    <w:rsid w:val="008E0E32"/>
    <w:rsid w:val="008E3F20"/>
    <w:rsid w:val="009015B2"/>
    <w:rsid w:val="009466B4"/>
    <w:rsid w:val="00955ED3"/>
    <w:rsid w:val="009B4EC5"/>
    <w:rsid w:val="009D0E7D"/>
    <w:rsid w:val="009E0599"/>
    <w:rsid w:val="00A27C03"/>
    <w:rsid w:val="00A64D69"/>
    <w:rsid w:val="00A65EE2"/>
    <w:rsid w:val="00AE0DE3"/>
    <w:rsid w:val="00AF51E1"/>
    <w:rsid w:val="00B043DA"/>
    <w:rsid w:val="00B07114"/>
    <w:rsid w:val="00B1234C"/>
    <w:rsid w:val="00B15678"/>
    <w:rsid w:val="00B34FC9"/>
    <w:rsid w:val="00B356B8"/>
    <w:rsid w:val="00B46B6D"/>
    <w:rsid w:val="00B5054E"/>
    <w:rsid w:val="00B53DD2"/>
    <w:rsid w:val="00B80654"/>
    <w:rsid w:val="00B92190"/>
    <w:rsid w:val="00B964E5"/>
    <w:rsid w:val="00BA10DE"/>
    <w:rsid w:val="00BA6E97"/>
    <w:rsid w:val="00BF7B3E"/>
    <w:rsid w:val="00C11332"/>
    <w:rsid w:val="00C20D65"/>
    <w:rsid w:val="00C279FF"/>
    <w:rsid w:val="00C40F43"/>
    <w:rsid w:val="00C54827"/>
    <w:rsid w:val="00C56B7D"/>
    <w:rsid w:val="00C57863"/>
    <w:rsid w:val="00C7268E"/>
    <w:rsid w:val="00CD5830"/>
    <w:rsid w:val="00D315B6"/>
    <w:rsid w:val="00DB0C82"/>
    <w:rsid w:val="00DD372D"/>
    <w:rsid w:val="00E701E1"/>
    <w:rsid w:val="00E777FA"/>
    <w:rsid w:val="00E8111E"/>
    <w:rsid w:val="00E97D07"/>
    <w:rsid w:val="00F86163"/>
    <w:rsid w:val="00FB6FAF"/>
    <w:rsid w:val="00FC58E0"/>
    <w:rsid w:val="00FD7DD4"/>
    <w:rsid w:val="00FF1937"/>
    <w:rsid w:val="013B79AC"/>
    <w:rsid w:val="01AD0565"/>
    <w:rsid w:val="027D3B62"/>
    <w:rsid w:val="04A93397"/>
    <w:rsid w:val="05651E2E"/>
    <w:rsid w:val="057F3138"/>
    <w:rsid w:val="0609109B"/>
    <w:rsid w:val="06102ED9"/>
    <w:rsid w:val="066136D1"/>
    <w:rsid w:val="06833489"/>
    <w:rsid w:val="092B5FAA"/>
    <w:rsid w:val="0AAF4D73"/>
    <w:rsid w:val="0AE90464"/>
    <w:rsid w:val="0DE60700"/>
    <w:rsid w:val="0FD06BAD"/>
    <w:rsid w:val="10C17982"/>
    <w:rsid w:val="11092903"/>
    <w:rsid w:val="117D33F3"/>
    <w:rsid w:val="125E2600"/>
    <w:rsid w:val="12C836ED"/>
    <w:rsid w:val="132E46A0"/>
    <w:rsid w:val="14411117"/>
    <w:rsid w:val="1586116E"/>
    <w:rsid w:val="15AE1158"/>
    <w:rsid w:val="162B0E7A"/>
    <w:rsid w:val="18594BCF"/>
    <w:rsid w:val="18BB4AD7"/>
    <w:rsid w:val="1B4A3FDA"/>
    <w:rsid w:val="1B524C98"/>
    <w:rsid w:val="1BD947C8"/>
    <w:rsid w:val="1C5E2F73"/>
    <w:rsid w:val="1D6E0C0D"/>
    <w:rsid w:val="1F5A3F1F"/>
    <w:rsid w:val="202A63C8"/>
    <w:rsid w:val="221C15BB"/>
    <w:rsid w:val="22295428"/>
    <w:rsid w:val="232A59B3"/>
    <w:rsid w:val="24E97439"/>
    <w:rsid w:val="27461316"/>
    <w:rsid w:val="288E359E"/>
    <w:rsid w:val="29785A6B"/>
    <w:rsid w:val="2A7A38A5"/>
    <w:rsid w:val="2CD40FE3"/>
    <w:rsid w:val="2D1F3974"/>
    <w:rsid w:val="2D5451D2"/>
    <w:rsid w:val="2DB52EF2"/>
    <w:rsid w:val="2E23576A"/>
    <w:rsid w:val="31AA6038"/>
    <w:rsid w:val="32975B6D"/>
    <w:rsid w:val="33887EE3"/>
    <w:rsid w:val="341F4D14"/>
    <w:rsid w:val="346377F3"/>
    <w:rsid w:val="34677C61"/>
    <w:rsid w:val="348D29FB"/>
    <w:rsid w:val="3604301B"/>
    <w:rsid w:val="38513E36"/>
    <w:rsid w:val="391C4C6B"/>
    <w:rsid w:val="3B121AD1"/>
    <w:rsid w:val="3B3501A8"/>
    <w:rsid w:val="3CFD0D2E"/>
    <w:rsid w:val="3ED0577B"/>
    <w:rsid w:val="401B2D95"/>
    <w:rsid w:val="41603979"/>
    <w:rsid w:val="41CF436B"/>
    <w:rsid w:val="42506F00"/>
    <w:rsid w:val="444739C3"/>
    <w:rsid w:val="4619368A"/>
    <w:rsid w:val="46B87800"/>
    <w:rsid w:val="471F2499"/>
    <w:rsid w:val="4725763C"/>
    <w:rsid w:val="4CFD461E"/>
    <w:rsid w:val="4D6E0FDF"/>
    <w:rsid w:val="4E246BD5"/>
    <w:rsid w:val="4EE4307A"/>
    <w:rsid w:val="51151EDE"/>
    <w:rsid w:val="5153143F"/>
    <w:rsid w:val="515360B7"/>
    <w:rsid w:val="54F12DEE"/>
    <w:rsid w:val="57664935"/>
    <w:rsid w:val="590B4E0A"/>
    <w:rsid w:val="599F699F"/>
    <w:rsid w:val="5B8D564A"/>
    <w:rsid w:val="5BBB08F9"/>
    <w:rsid w:val="5E75439E"/>
    <w:rsid w:val="5F1759B1"/>
    <w:rsid w:val="60A65532"/>
    <w:rsid w:val="63990E27"/>
    <w:rsid w:val="63F206F0"/>
    <w:rsid w:val="6439250A"/>
    <w:rsid w:val="65074FBA"/>
    <w:rsid w:val="669B29A6"/>
    <w:rsid w:val="68F7481D"/>
    <w:rsid w:val="69407EA1"/>
    <w:rsid w:val="69512523"/>
    <w:rsid w:val="6A0D7163"/>
    <w:rsid w:val="6B1C0E78"/>
    <w:rsid w:val="6D065684"/>
    <w:rsid w:val="6DFD71B9"/>
    <w:rsid w:val="6F7732D9"/>
    <w:rsid w:val="706800ED"/>
    <w:rsid w:val="71086DB5"/>
    <w:rsid w:val="71614A37"/>
    <w:rsid w:val="71E13CBC"/>
    <w:rsid w:val="72111843"/>
    <w:rsid w:val="72451931"/>
    <w:rsid w:val="728D4303"/>
    <w:rsid w:val="75C31473"/>
    <w:rsid w:val="77093781"/>
    <w:rsid w:val="78B935A7"/>
    <w:rsid w:val="7C3E5E46"/>
    <w:rsid w:val="7C5B5A63"/>
    <w:rsid w:val="7DF32E67"/>
    <w:rsid w:val="7DF6547E"/>
    <w:rsid w:val="7EE759C2"/>
    <w:rsid w:val="7F460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7.emf"/><Relationship Id="rId25" Type="http://schemas.openxmlformats.org/officeDocument/2006/relationships/oleObject" Target="embeddings/oleObject7.bin"/><Relationship Id="rId24" Type="http://schemas.openxmlformats.org/officeDocument/2006/relationships/image" Target="media/image6.emf"/><Relationship Id="rId23" Type="http://schemas.openxmlformats.org/officeDocument/2006/relationships/oleObject" Target="embeddings/oleObject6.bin"/><Relationship Id="rId22" Type="http://schemas.openxmlformats.org/officeDocument/2006/relationships/image" Target="media/image5.emf"/><Relationship Id="rId21" Type="http://schemas.openxmlformats.org/officeDocument/2006/relationships/oleObject" Target="embeddings/oleObject5.bin"/><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hp\Desktop\&#26723;&#26696;&#39302;2018&#24180;&#20915;&#3163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杨陵区档案馆人员分析图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Sheet1!$E$5:$E$7</c:f>
              <c:strCache>
                <c:ptCount val="3"/>
                <c:pt idx="0">
                  <c:v>人员编制</c:v>
                </c:pt>
                <c:pt idx="1">
                  <c:v>实有人数</c:v>
                </c:pt>
                <c:pt idx="2">
                  <c:v>单位管理的离退休人员</c:v>
                </c:pt>
              </c:strCache>
            </c:strRef>
          </c:cat>
          <c:val>
            <c:numRef>
              <c:f>Sheet1!$F$5:$F$7</c:f>
              <c:numCache>
                <c:formatCode>General</c:formatCode>
                <c:ptCount val="3"/>
                <c:pt idx="0">
                  <c:v>9</c:v>
                </c:pt>
                <c:pt idx="1">
                  <c:v>6</c:v>
                </c:pt>
                <c:pt idx="2">
                  <c:v>6</c:v>
                </c:pt>
              </c:numCache>
            </c:numRef>
          </c:val>
        </c:ser>
        <c:dLbls>
          <c:showLegendKey val="0"/>
          <c:showVal val="1"/>
          <c:showCatName val="0"/>
          <c:showSerName val="0"/>
          <c:showPercent val="0"/>
          <c:showBubbleSize val="0"/>
        </c:dLbls>
        <c:gapWidth val="219"/>
        <c:overlap val="-27"/>
        <c:axId val="112759552"/>
        <c:axId val="112761088"/>
      </c:barChart>
      <c:catAx>
        <c:axId val="11275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761088"/>
        <c:crosses val="autoZero"/>
        <c:auto val="1"/>
        <c:lblAlgn val="ctr"/>
        <c:lblOffset val="100"/>
        <c:noMultiLvlLbl val="0"/>
      </c:catAx>
      <c:valAx>
        <c:axId val="1127610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759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杨陵区档案馆收入分析图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2019年收入</c:v>
                </c:pt>
                <c:pt idx="1">
                  <c:v>2018年收入</c:v>
                </c:pt>
              </c:strCache>
            </c:strRef>
          </c:cat>
          <c:val>
            <c:numRef>
              <c:f>Sheet2!$F$4:$F$5</c:f>
              <c:numCache>
                <c:formatCode>General</c:formatCode>
                <c:ptCount val="2"/>
                <c:pt idx="0">
                  <c:v>133.9</c:v>
                </c:pt>
                <c:pt idx="1">
                  <c:v>116.96</c:v>
                </c:pt>
              </c:numCache>
            </c:numRef>
          </c:val>
        </c:ser>
        <c:dLbls>
          <c:showLegendKey val="0"/>
          <c:showVal val="1"/>
          <c:showCatName val="0"/>
          <c:showSerName val="0"/>
          <c:showPercent val="0"/>
          <c:showBubbleSize val="0"/>
        </c:dLbls>
        <c:gapWidth val="219"/>
        <c:overlap val="-27"/>
        <c:axId val="105461248"/>
        <c:axId val="105462784"/>
      </c:barChart>
      <c:catAx>
        <c:axId val="10546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5462784"/>
        <c:crosses val="autoZero"/>
        <c:auto val="1"/>
        <c:lblAlgn val="ctr"/>
        <c:lblOffset val="100"/>
        <c:noMultiLvlLbl val="0"/>
      </c:catAx>
      <c:valAx>
        <c:axId val="1054627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5461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杨陵区档案馆支出分析图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t>133.9</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2019年支出</c:v>
                </c:pt>
                <c:pt idx="1">
                  <c:v>2018年支出</c:v>
                </c:pt>
              </c:strCache>
            </c:strRef>
          </c:cat>
          <c:val>
            <c:numRef>
              <c:f>Sheet2!$F$4:$F$5</c:f>
              <c:numCache>
                <c:formatCode>General</c:formatCode>
                <c:ptCount val="2"/>
                <c:pt idx="0">
                  <c:v>133.9</c:v>
                </c:pt>
                <c:pt idx="1">
                  <c:v>116.96</c:v>
                </c:pt>
              </c:numCache>
            </c:numRef>
          </c:val>
        </c:ser>
        <c:dLbls>
          <c:showLegendKey val="0"/>
          <c:showVal val="1"/>
          <c:showCatName val="0"/>
          <c:showSerName val="0"/>
          <c:showPercent val="0"/>
          <c:showBubbleSize val="0"/>
        </c:dLbls>
        <c:gapWidth val="219"/>
        <c:overlap val="-27"/>
        <c:axId val="112663168"/>
        <c:axId val="112779648"/>
      </c:barChart>
      <c:catAx>
        <c:axId val="11266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779648"/>
        <c:crosses val="autoZero"/>
        <c:auto val="1"/>
        <c:lblAlgn val="ctr"/>
        <c:lblOffset val="100"/>
        <c:noMultiLvlLbl val="0"/>
      </c:catAx>
      <c:valAx>
        <c:axId val="1127796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66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杨陵区档案馆收入分析图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财政拨款收入</c:v>
                </c:pt>
                <c:pt idx="1">
                  <c:v>其他收入</c:v>
                </c:pt>
              </c:strCache>
            </c:strRef>
          </c:cat>
          <c:val>
            <c:numRef>
              <c:f>Sheet2!$F$4:$F$5</c:f>
              <c:numCache>
                <c:formatCode>General</c:formatCode>
                <c:ptCount val="2"/>
                <c:pt idx="0">
                  <c:v>133.9</c:v>
                </c:pt>
                <c:pt idx="1">
                  <c:v>0</c:v>
                </c:pt>
              </c:numCache>
            </c:numRef>
          </c:val>
        </c:ser>
        <c:dLbls>
          <c:showLegendKey val="0"/>
          <c:showVal val="1"/>
          <c:showCatName val="0"/>
          <c:showSerName val="0"/>
          <c:showPercent val="0"/>
          <c:showBubbleSize val="0"/>
        </c:dLbls>
        <c:gapWidth val="219"/>
        <c:overlap val="-27"/>
        <c:axId val="111566848"/>
        <c:axId val="111568384"/>
      </c:barChart>
      <c:catAx>
        <c:axId val="11156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568384"/>
        <c:crosses val="autoZero"/>
        <c:auto val="1"/>
        <c:lblAlgn val="ctr"/>
        <c:lblOffset val="100"/>
        <c:noMultiLvlLbl val="0"/>
      </c:catAx>
      <c:valAx>
        <c:axId val="1115683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566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杨陵区档案馆支出分析图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基本支出</c:v>
                </c:pt>
                <c:pt idx="1">
                  <c:v>项目支出</c:v>
                </c:pt>
              </c:strCache>
            </c:strRef>
          </c:cat>
          <c:val>
            <c:numRef>
              <c:f>Sheet2!$F$4:$F$5</c:f>
              <c:numCache>
                <c:formatCode>General</c:formatCode>
                <c:ptCount val="2"/>
                <c:pt idx="0">
                  <c:v>114.55</c:v>
                </c:pt>
                <c:pt idx="1">
                  <c:v>19.35</c:v>
                </c:pt>
              </c:numCache>
            </c:numRef>
          </c:val>
        </c:ser>
        <c:dLbls>
          <c:showLegendKey val="0"/>
          <c:showVal val="1"/>
          <c:showCatName val="0"/>
          <c:showSerName val="0"/>
          <c:showPercent val="0"/>
          <c:showBubbleSize val="0"/>
        </c:dLbls>
        <c:gapWidth val="219"/>
        <c:overlap val="-27"/>
        <c:axId val="114279552"/>
        <c:axId val="114281088"/>
      </c:barChart>
      <c:catAx>
        <c:axId val="11427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281088"/>
        <c:crosses val="autoZero"/>
        <c:auto val="1"/>
        <c:lblAlgn val="ctr"/>
        <c:lblOffset val="100"/>
        <c:noMultiLvlLbl val="0"/>
      </c:catAx>
      <c:valAx>
        <c:axId val="1142810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279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杨陵区档案馆财政拨款收入分析图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2019年财政拨款收入</c:v>
                </c:pt>
                <c:pt idx="1">
                  <c:v>2018年财政拨款收入</c:v>
                </c:pt>
              </c:strCache>
            </c:strRef>
          </c:cat>
          <c:val>
            <c:numRef>
              <c:f>Sheet2!$F$4:$F$5</c:f>
              <c:numCache>
                <c:formatCode>General</c:formatCode>
                <c:ptCount val="2"/>
                <c:pt idx="0">
                  <c:v>133.9</c:v>
                </c:pt>
                <c:pt idx="1">
                  <c:v>114.56</c:v>
                </c:pt>
              </c:numCache>
            </c:numRef>
          </c:val>
        </c:ser>
        <c:dLbls>
          <c:showLegendKey val="0"/>
          <c:showVal val="1"/>
          <c:showCatName val="0"/>
          <c:showSerName val="0"/>
          <c:showPercent val="0"/>
          <c:showBubbleSize val="0"/>
        </c:dLbls>
        <c:gapWidth val="219"/>
        <c:overlap val="-27"/>
        <c:axId val="114325760"/>
        <c:axId val="114335744"/>
      </c:barChart>
      <c:catAx>
        <c:axId val="11432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335744"/>
        <c:crosses val="autoZero"/>
        <c:auto val="1"/>
        <c:lblAlgn val="ctr"/>
        <c:lblOffset val="100"/>
        <c:noMultiLvlLbl val="0"/>
      </c:catAx>
      <c:valAx>
        <c:axId val="1143357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32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杨陵区档案馆财政拨款支出分析图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2019年财政拨款支出</c:v>
                </c:pt>
                <c:pt idx="1">
                  <c:v>2018年财政拨款支出</c:v>
                </c:pt>
              </c:strCache>
            </c:strRef>
          </c:cat>
          <c:val>
            <c:numRef>
              <c:f>Sheet2!$F$4:$F$5</c:f>
              <c:numCache>
                <c:formatCode>General</c:formatCode>
                <c:ptCount val="2"/>
                <c:pt idx="0">
                  <c:v>133.9</c:v>
                </c:pt>
                <c:pt idx="1">
                  <c:v>114.56</c:v>
                </c:pt>
              </c:numCache>
            </c:numRef>
          </c:val>
        </c:ser>
        <c:dLbls>
          <c:showLegendKey val="0"/>
          <c:showVal val="1"/>
          <c:showCatName val="0"/>
          <c:showSerName val="0"/>
          <c:showPercent val="0"/>
          <c:showBubbleSize val="0"/>
        </c:dLbls>
        <c:gapWidth val="219"/>
        <c:overlap val="-27"/>
        <c:axId val="114355584"/>
        <c:axId val="114758784"/>
      </c:barChart>
      <c:catAx>
        <c:axId val="11435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758784"/>
        <c:crosses val="autoZero"/>
        <c:auto val="1"/>
        <c:lblAlgn val="ctr"/>
        <c:lblOffset val="100"/>
        <c:noMultiLvlLbl val="0"/>
      </c:catAx>
      <c:valAx>
        <c:axId val="1147587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355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杨陵区档案馆支出分析图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2019年财政拨款支出</c:v>
                </c:pt>
                <c:pt idx="1">
                  <c:v>2019年其他资金支出</c:v>
                </c:pt>
              </c:strCache>
            </c:strRef>
          </c:cat>
          <c:val>
            <c:numRef>
              <c:f>Sheet2!$F$4:$F$5</c:f>
              <c:numCache>
                <c:formatCode>0.00_ </c:formatCode>
                <c:ptCount val="2"/>
                <c:pt idx="0">
                  <c:v>133.9</c:v>
                </c:pt>
                <c:pt idx="1" c:formatCode="General">
                  <c:v>0</c:v>
                </c:pt>
              </c:numCache>
            </c:numRef>
          </c:val>
        </c:ser>
        <c:dLbls>
          <c:showLegendKey val="0"/>
          <c:showVal val="1"/>
          <c:showCatName val="0"/>
          <c:showSerName val="0"/>
          <c:showPercent val="0"/>
          <c:showBubbleSize val="0"/>
        </c:dLbls>
        <c:gapWidth val="219"/>
        <c:overlap val="-27"/>
        <c:axId val="114860800"/>
        <c:axId val="114862336"/>
      </c:barChart>
      <c:catAx>
        <c:axId val="11486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862336"/>
        <c:crosses val="autoZero"/>
        <c:auto val="1"/>
        <c:lblAlgn val="ctr"/>
        <c:lblOffset val="100"/>
        <c:noMultiLvlLbl val="0"/>
      </c:catAx>
      <c:valAx>
        <c:axId val="1148623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860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521917-242A-4F5E-87EE-A1B39586E996}">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1490</Words>
  <Characters>8498</Characters>
  <Lines>70</Lines>
  <Paragraphs>19</Paragraphs>
  <TotalTime>32</TotalTime>
  <ScaleCrop>false</ScaleCrop>
  <LinksUpToDate>false</LinksUpToDate>
  <CharactersWithSpaces>9969</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gkg</cp:lastModifiedBy>
  <cp:lastPrinted>2020-10-13T01:08:00Z</cp:lastPrinted>
  <dcterms:modified xsi:type="dcterms:W3CDTF">2020-10-27T11:15:02Z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