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杨陵区残疾人联合会</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陵区残疾人联合会主要负责宣传贯彻执行《中华人民共和国残疾人保障法》，维护残疾人在政治、经济、文化、社会和家庭生活等方面同其他公民平等的权利；弘扬人道主义，宣传残疾人事业，沟通政府、社会与残疾人之间的联系，动员社会理解、尊重、关心、帮助残疾人；团结、教育残疾人遵守法律，履行应尽义务，发扬乐观进取精神；研究、拟订和实施残疾人事业的政策、规划和计划，对有关业务领域进行指导和管理；开展残疾人康复、教育、劳动就业、扶贫、托养、文化、体育、用品用具供应、福利、社会服务、无障碍设施和残疾预防工作，创造良好的环境和条件，扶助残疾人平等参与社会生活；管理和发放《中华人民共和国残疾人证》；承担区政府残疾人工作委员会的日常工作，做好综合、组织、协调和服务工作；管理和指导各类残疾人群众组织，培养残疾人工作者；完成区委、区政府及上级部门交办的其他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本单位无下属</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杨陵区残疾人联合会（</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ind w:left="0" w:leftChars="0" w:firstLine="22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64480" cy="3924300"/>
            <wp:effectExtent l="4445" t="4445" r="2222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sz w:val="24"/>
              </w:rPr>
            </w:pPr>
            <w:r>
              <w:rPr>
                <w:rFonts w:hint="eastAsia" w:ascii="宋体" w:hAnsi="宋体" w:cs="宋体"/>
                <w:color w:val="000000"/>
                <w:kern w:val="0"/>
                <w:sz w:val="24"/>
                <w:lang w:bidi="ar"/>
              </w:rPr>
              <w:t>政府性基金预算财政拨款收入支出决算表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244"/>
        <w:gridCol w:w="1172"/>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209.59</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204.51</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415.17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33.82</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421.91</w:t>
            </w:r>
          </w:p>
        </w:tc>
        <w:tc>
          <w:tcPr>
            <w:tcW w:w="3244"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172"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448.99</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172"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32.94</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5.86</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454.85</w:t>
            </w:r>
          </w:p>
        </w:tc>
        <w:tc>
          <w:tcPr>
            <w:tcW w:w="3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454.85</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9277" w:type="dxa"/>
        <w:tblInd w:w="0" w:type="dxa"/>
        <w:tblLayout w:type="fixed"/>
        <w:tblCellMar>
          <w:top w:w="15" w:type="dxa"/>
          <w:left w:w="15" w:type="dxa"/>
          <w:bottom w:w="15" w:type="dxa"/>
          <w:right w:w="15" w:type="dxa"/>
        </w:tblCellMar>
      </w:tblPr>
      <w:tblGrid>
        <w:gridCol w:w="970"/>
        <w:gridCol w:w="1308"/>
        <w:gridCol w:w="829"/>
        <w:gridCol w:w="900"/>
        <w:gridCol w:w="615"/>
        <w:gridCol w:w="645"/>
        <w:gridCol w:w="1343"/>
        <w:gridCol w:w="667"/>
        <w:gridCol w:w="960"/>
        <w:gridCol w:w="1040"/>
      </w:tblGrid>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45" w:hRule="atLeast"/>
        </w:trPr>
        <w:tc>
          <w:tcPr>
            <w:tcW w:w="97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0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1" w:hRule="atLeast"/>
        </w:trPr>
        <w:tc>
          <w:tcPr>
            <w:tcW w:w="22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421.91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217.40</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204.51</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388.09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209.59</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178.49</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388.09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209.59</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178.49</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81.82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81.82</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79.71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28.17</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51.54</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110.26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49.96</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60.29</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116.30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49.64</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66.66</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33.82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7.81</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26.01</w:t>
            </w:r>
          </w:p>
        </w:tc>
      </w:tr>
      <w:tr>
        <w:tblPrEx>
          <w:tblCellMar>
            <w:top w:w="15" w:type="dxa"/>
            <w:left w:w="15" w:type="dxa"/>
            <w:bottom w:w="15" w:type="dxa"/>
            <w:right w:w="15" w:type="dxa"/>
          </w:tblCellMar>
        </w:tblPrEx>
        <w:trPr>
          <w:trHeight w:val="457"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33.82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7.81</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26.01</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33.82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7.81</w:t>
            </w: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26.01</w:t>
            </w: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cs="Arial"/>
                <w:i w:val="0"/>
                <w:color w:val="000000"/>
                <w:kern w:val="0"/>
                <w:sz w:val="20"/>
                <w:szCs w:val="20"/>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60"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p>
        </w:tc>
        <w:tc>
          <w:tcPr>
            <w:tcW w:w="10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hint="eastAsia"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937" w:type="dxa"/>
        <w:tblInd w:w="0" w:type="dxa"/>
        <w:tblLayout w:type="fixed"/>
        <w:tblCellMar>
          <w:top w:w="15" w:type="dxa"/>
          <w:left w:w="15" w:type="dxa"/>
          <w:bottom w:w="15" w:type="dxa"/>
          <w:right w:w="15" w:type="dxa"/>
        </w:tblCellMar>
      </w:tblPr>
      <w:tblGrid>
        <w:gridCol w:w="918"/>
        <w:gridCol w:w="83"/>
        <w:gridCol w:w="1322"/>
        <w:gridCol w:w="1266"/>
        <w:gridCol w:w="889"/>
        <w:gridCol w:w="1082"/>
        <w:gridCol w:w="1114"/>
        <w:gridCol w:w="912"/>
        <w:gridCol w:w="1351"/>
      </w:tblGrid>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0" w:hRule="atLeast"/>
        </w:trPr>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89" w:hRule="atLeast"/>
        </w:trPr>
        <w:tc>
          <w:tcPr>
            <w:tcW w:w="23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448.99</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83.29</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365.70</w:t>
            </w:r>
          </w:p>
        </w:tc>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社会保障和就业支出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415.17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83.29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331.88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415.17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83.29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331.88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81.82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81.82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79.71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79.71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112.19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112.19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141.45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1.48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139.98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7"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彩票公益金安排的支出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2296006</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用于残疾人事业的彩票公益金支出</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0.00 </w:t>
            </w: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 xml:space="preserve">33.82 </w:t>
            </w: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r>
      <w:tr>
        <w:tblPrEx>
          <w:tblCellMar>
            <w:top w:w="15" w:type="dxa"/>
            <w:left w:w="15" w:type="dxa"/>
            <w:bottom w:w="15" w:type="dxa"/>
            <w:right w:w="15" w:type="dxa"/>
          </w:tblCellMar>
        </w:tblPrEx>
        <w:trPr>
          <w:trHeight w:val="783" w:hRule="atLeast"/>
        </w:trPr>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11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Arial" w:hAnsi="Arial" w:eastAsia="宋体" w:cs="Arial"/>
                <w:i w:val="0"/>
                <w:color w:val="000000"/>
                <w:kern w:val="0"/>
                <w:sz w:val="20"/>
                <w:szCs w:val="20"/>
                <w:u w:val="none"/>
                <w:lang w:val="en-US" w:eastAsia="zh-CN" w:bidi="ar"/>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209.59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209.59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209.59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7.81</w:t>
            </w:r>
          </w:p>
        </w:tc>
        <w:tc>
          <w:tcPr>
            <w:tcW w:w="1102"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7.81</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217.40</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217.40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209.59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7.81</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color w:val="000000"/>
                <w:kern w:val="0"/>
                <w:szCs w:val="21"/>
                <w:lang w:val="en-US" w:eastAsia="zh-CN"/>
              </w:rPr>
              <w:t>217.40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217.40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209.59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7.81</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hint="eastAsia" w:ascii="宋体" w:hAnsi="宋体" w:cs="宋体"/>
          <w:b/>
          <w:bCs/>
          <w:szCs w:val="21"/>
        </w:rPr>
      </w:pPr>
      <w:r>
        <w:rPr>
          <w:rFonts w:hint="eastAsia" w:ascii="宋体" w:hAnsi="宋体" w:cs="宋体"/>
          <w:b/>
          <w:bCs/>
          <w:szCs w:val="21"/>
        </w:rPr>
        <w:t xml:space="preserve">                                                                          公开05表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209.59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83.29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b/>
                <w:bCs/>
                <w:i w:val="0"/>
                <w:color w:val="000000"/>
                <w:kern w:val="0"/>
                <w:sz w:val="20"/>
                <w:szCs w:val="20"/>
                <w:u w:val="none"/>
                <w:lang w:val="en-US" w:eastAsia="zh-CN" w:bidi="ar"/>
              </w:rPr>
            </w:pPr>
            <w:r>
              <w:rPr>
                <w:rFonts w:hint="default" w:ascii="Arial" w:hAnsi="Arial" w:eastAsia="宋体" w:cs="Arial"/>
                <w:b/>
                <w:bCs/>
                <w:i w:val="0"/>
                <w:color w:val="000000"/>
                <w:kern w:val="0"/>
                <w:sz w:val="20"/>
                <w:szCs w:val="20"/>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b/>
                <w:bCs/>
                <w:i w:val="0"/>
                <w:color w:val="000000"/>
                <w:kern w:val="0"/>
                <w:sz w:val="20"/>
                <w:szCs w:val="20"/>
                <w:u w:val="none"/>
                <w:lang w:val="en-US" w:eastAsia="zh-CN" w:bidi="ar"/>
              </w:rPr>
            </w:pPr>
            <w:r>
              <w:rPr>
                <w:rFonts w:hint="eastAsia" w:ascii="Arial" w:hAnsi="Arial" w:eastAsia="宋体" w:cs="Arial"/>
                <w:b/>
                <w:bCs/>
                <w:i w:val="0"/>
                <w:color w:val="000000"/>
                <w:kern w:val="0"/>
                <w:sz w:val="20"/>
                <w:szCs w:val="20"/>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209.59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r>
              <w:rPr>
                <w:rFonts w:hint="eastAsia" w:ascii="宋体" w:hAnsi="宋体" w:cs="宋体"/>
                <w:b/>
                <w:bCs/>
                <w:color w:val="000000"/>
                <w:szCs w:val="21"/>
                <w:lang w:val="en-US" w:eastAsia="zh-CN"/>
              </w:rPr>
              <w:t>83.29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75.05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8.25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126.30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209.59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83.29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75.05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81.82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73.57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残疾人康复</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28.17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2081105</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残疾人就业和扶贫</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49.96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49.96</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2081199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其他残疾人事业支出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48.17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bottom"/>
              <w:rPr>
                <w:rFonts w:hint="default" w:ascii="Arial" w:hAnsi="Arial" w:eastAsia="宋体" w:cs="Arial"/>
                <w:i w:val="0"/>
                <w:color w:val="000000"/>
                <w:kern w:val="0"/>
                <w:sz w:val="20"/>
                <w:szCs w:val="20"/>
                <w:u w:val="none"/>
                <w:lang w:val="en-US" w:eastAsia="zh-CN" w:bidi="ar"/>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bottom"/>
              <w:rPr>
                <w:rFonts w:hint="eastAsia" w:ascii="Arial" w:hAnsi="Arial" w:eastAsia="宋体" w:cs="Arial"/>
                <w:i w:val="0"/>
                <w:color w:val="000000"/>
                <w:kern w:val="0"/>
                <w:sz w:val="20"/>
                <w:szCs w:val="20"/>
                <w:u w:val="none"/>
                <w:lang w:val="en-US" w:eastAsia="zh-CN" w:bidi="ar"/>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12"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83.29</w:t>
            </w:r>
          </w:p>
        </w:tc>
        <w:tc>
          <w:tcPr>
            <w:tcW w:w="1437"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75.05</w:t>
            </w:r>
          </w:p>
        </w:tc>
        <w:tc>
          <w:tcPr>
            <w:tcW w:w="1363"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8.25</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75.01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75.01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25.10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25.10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1.48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1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7.34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b/>
                <w:bCs/>
                <w:color w:val="000000"/>
                <w:szCs w:val="21"/>
              </w:rPr>
            </w:pPr>
            <w:r>
              <w:rPr>
                <w:rFonts w:hint="eastAsia" w:ascii="宋体" w:hAnsi="宋体" w:eastAsia="宋体" w:cs="宋体"/>
                <w:b/>
                <w:bCs/>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8.25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8.25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0.50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2.79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97"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1.46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27.00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1.35</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0.92</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i w:val="0"/>
                <w:iCs w:val="0"/>
                <w:color w:val="000000"/>
                <w:szCs w:val="21"/>
                <w:lang w:val="en-US" w:eastAsia="zh-CN"/>
              </w:rPr>
            </w:pPr>
            <w:r>
              <w:rPr>
                <w:rFonts w:hint="eastAsia" w:ascii="宋体" w:hAnsi="宋体" w:cs="宋体"/>
                <w:b w:val="0"/>
                <w:bCs/>
                <w:i w:val="0"/>
                <w:iCs w:val="0"/>
                <w:color w:val="000000"/>
                <w:szCs w:val="21"/>
                <w:lang w:val="en-US" w:eastAsia="zh-CN"/>
              </w:rPr>
              <w:t>0.92</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val="0"/>
                <w:bCs/>
                <w:i w:val="0"/>
                <w:iCs w:val="0"/>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val="0"/>
                <w:i w:val="0"/>
                <w:iCs w:val="0"/>
                <w:color w:val="000000"/>
                <w:szCs w:val="21"/>
                <w:lang w:val="en-US" w:eastAsia="zh-CN"/>
              </w:rPr>
            </w:pPr>
            <w:r>
              <w:rPr>
                <w:rFonts w:hint="eastAsia" w:ascii="宋体" w:hAnsi="宋体" w:cs="宋体"/>
                <w:b/>
                <w:bCs w:val="0"/>
                <w:i w:val="0"/>
                <w:iCs w:val="0"/>
                <w:color w:val="000000"/>
                <w:szCs w:val="21"/>
                <w:lang w:val="en-US" w:eastAsia="zh-CN"/>
              </w:rPr>
              <w:t>25.40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hint="eastAsia"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jc w:val="left"/>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杨陵区残疾人联合会</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8"/>
        <w:tblW w:w="8877" w:type="dxa"/>
        <w:tblInd w:w="0" w:type="dxa"/>
        <w:tblLayout w:type="fixed"/>
        <w:tblCellMar>
          <w:top w:w="15" w:type="dxa"/>
          <w:left w:w="15" w:type="dxa"/>
          <w:bottom w:w="15" w:type="dxa"/>
          <w:right w:w="15" w:type="dxa"/>
        </w:tblCellMar>
      </w:tblPr>
      <w:tblGrid>
        <w:gridCol w:w="1023"/>
        <w:gridCol w:w="1439"/>
        <w:gridCol w:w="951"/>
        <w:gridCol w:w="990"/>
        <w:gridCol w:w="930"/>
        <w:gridCol w:w="1049"/>
        <w:gridCol w:w="1024"/>
        <w:gridCol w:w="1471"/>
      </w:tblGrid>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4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51"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7.81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7.81</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7.81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彩票公益金安排的支出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2296006</w:t>
            </w:r>
          </w:p>
        </w:tc>
        <w:tc>
          <w:tcPr>
            <w:tcW w:w="14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用于残疾人事业的彩票公益金支出</w:t>
            </w: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7.81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4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421.91</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107.66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无障碍及居家托养、残疾人假肢适配等项目资金收入增加。</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支出总计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448.99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万元，较上年增加</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150.98</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无障碍及居家托养、残疾人假肢适配等项目资金支出增加。</w:t>
      </w:r>
    </w:p>
    <w:p>
      <w:pPr>
        <w:widowControl/>
        <w:numPr>
          <w:ilvl w:val="0"/>
          <w:numId w:val="2"/>
        </w:numPr>
        <w:ind w:firstLine="640" w:firstLineChars="200"/>
        <w:jc w:val="left"/>
        <w:rPr>
          <w:rFonts w:hint="eastAsia" w:ascii="黑体" w:hAnsi="黑体" w:eastAsia="黑体"/>
          <w:color w:val="000000"/>
          <w:kern w:val="0"/>
          <w:sz w:val="32"/>
          <w:szCs w:val="32"/>
          <w:lang w:eastAsia="zh-CN" w:bidi="ar"/>
        </w:rPr>
      </w:pPr>
      <w:r>
        <w:rPr>
          <w:rFonts w:hint="eastAsia" w:ascii="仿宋_GB2312" w:hAnsi="仿宋_GB2312" w:eastAsia="仿宋_GB2312" w:cs="仿宋_GB2312"/>
          <w:sz w:val="32"/>
          <w:szCs w:val="32"/>
          <w:lang w:eastAsia="zh-CN"/>
        </w:rPr>
        <w:drawing>
          <wp:anchor distT="0" distB="0" distL="114300" distR="114300" simplePos="0" relativeHeight="251658240" behindDoc="0" locked="0" layoutInCell="1" allowOverlap="1">
            <wp:simplePos x="0" y="0"/>
            <wp:positionH relativeFrom="column">
              <wp:posOffset>429895</wp:posOffset>
            </wp:positionH>
            <wp:positionV relativeFrom="paragraph">
              <wp:posOffset>177165</wp:posOffset>
            </wp:positionV>
            <wp:extent cx="4606290" cy="2837180"/>
            <wp:effectExtent l="4445" t="4445" r="1841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kern w:val="0"/>
          <w:sz w:val="32"/>
          <w:szCs w:val="32"/>
          <w:lang w:bidi="ar"/>
        </w:rPr>
        <w:t>收入决算情况</w:t>
      </w:r>
      <w:r>
        <w:rPr>
          <w:rFonts w:hint="eastAsia" w:ascii="黑体" w:hAnsi="黑体" w:eastAsia="黑体"/>
          <w:color w:val="000000"/>
          <w:kern w:val="0"/>
          <w:sz w:val="32"/>
          <w:szCs w:val="32"/>
          <w:lang w:eastAsia="zh-CN" w:bidi="ar"/>
        </w:rPr>
        <w:t>说明</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olor w:val="auto"/>
          <w:sz w:val="32"/>
          <w:szCs w:val="32"/>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收入合计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421.91</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万元，其中一般公共预算财政拨款收入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209.59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49.68%；</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政府性基金预算财政拨款收入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7.81万元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1.85%；</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其他收入</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204.51</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万元，占总收入的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48.47%。</w:t>
      </w:r>
    </w:p>
    <w:p>
      <w:pPr>
        <w:widowControl/>
        <w:numPr>
          <w:ilvl w:val="0"/>
          <w:numId w:val="0"/>
        </w:numPr>
        <w:jc w:val="center"/>
        <w:rPr>
          <w:rFonts w:hint="default" w:ascii="黑体" w:hAnsi="黑体" w:eastAsia="黑体"/>
          <w:color w:val="000000"/>
          <w:kern w:val="0"/>
          <w:sz w:val="32"/>
          <w:szCs w:val="32"/>
          <w:lang w:val="en-US" w:eastAsia="zh-CN" w:bidi="ar"/>
        </w:rPr>
      </w:pPr>
      <w:r>
        <w:rPr>
          <w:rFonts w:hint="default" w:ascii="黑体" w:hAnsi="黑体" w:eastAsia="黑体"/>
          <w:color w:val="000000"/>
          <w:kern w:val="0"/>
          <w:sz w:val="32"/>
          <w:szCs w:val="32"/>
          <w:lang w:val="en-US" w:eastAsia="zh-CN" w:bidi="ar"/>
        </w:rPr>
        <w:drawing>
          <wp:inline distT="0" distB="0" distL="114300" distR="114300">
            <wp:extent cx="4725035" cy="2819400"/>
            <wp:effectExtent l="4445" t="4445" r="1397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支出合计</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448.99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万元，其中： 基本支出</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83.29</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18.55%；</w:t>
      </w:r>
      <w:r>
        <w:rPr>
          <w:rFonts w:hint="eastAsia" w:ascii="仿宋_GB2312" w:hAnsi="仿宋_GB2312" w:eastAsia="仿宋_GB2312" w:cs="仿宋_GB2312"/>
          <w:i w:val="0"/>
          <w:caps w:val="0"/>
          <w:color w:val="000000" w:themeColor="text1"/>
          <w:spacing w:val="0"/>
          <w:kern w:val="0"/>
          <w:sz w:val="32"/>
          <w:szCs w:val="32"/>
          <w:lang w:val="en-US" w:eastAsia="zh-CN" w:bidi="ar"/>
          <w14:textFill>
            <w14:solidFill>
              <w14:schemeClr w14:val="tx1"/>
            </w14:solidFill>
          </w14:textFill>
        </w:rPr>
        <w:t>项目支出365.70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万元，占总支出的</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81.45%</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olor w:val="000000"/>
          <w:kern w:val="0"/>
          <w:sz w:val="32"/>
          <w:szCs w:val="32"/>
          <w:lang w:bidi="ar"/>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401320</wp:posOffset>
            </wp:positionH>
            <wp:positionV relativeFrom="paragraph">
              <wp:posOffset>132715</wp:posOffset>
            </wp:positionV>
            <wp:extent cx="4814570" cy="2684780"/>
            <wp:effectExtent l="5080" t="4445" r="19050"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2019年财政拨款收入217.40万元，较上年减少30.28万元，减少12.28%，主要原因为2019年度其他收入增加，2019年度残疾人部门项目预算减少。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 w:eastAsia="仿宋_GB2312"/>
          <w:color w:val="auto"/>
          <w:sz w:val="32"/>
          <w:szCs w:val="32"/>
          <w:lang w:val="en-US" w:eastAsia="zh-CN"/>
        </w:rPr>
        <w:t>2019年财政拨款支出217.40万元，较上年减少30.44万元，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主要原因是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2019年财政拨款收入减少，所以支出减少。</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ascii="黑体" w:hAnsi="黑体" w:eastAsia="黑体"/>
          <w:color w:val="000000"/>
          <w:kern w:val="0"/>
          <w:sz w:val="32"/>
          <w:szCs w:val="32"/>
          <w:lang w:bidi="ar"/>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487045</wp:posOffset>
            </wp:positionH>
            <wp:positionV relativeFrom="paragraph">
              <wp:posOffset>148590</wp:posOffset>
            </wp:positionV>
            <wp:extent cx="4814570" cy="2983230"/>
            <wp:effectExtent l="5080" t="4445" r="19050" b="222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both"/>
        <w:rPr>
          <w:rFonts w:hint="eastAsia" w:ascii="仿宋_GB2312" w:hAnsi="仿宋" w:eastAsia="仿宋_GB2312"/>
          <w:color w:val="auto"/>
          <w:sz w:val="32"/>
          <w:szCs w:val="32"/>
          <w:lang w:val="en-US" w:eastAsia="zh-CN"/>
        </w:rPr>
      </w:pPr>
      <w:r>
        <w:rPr>
          <w:rFonts w:ascii="仿宋_GB2312" w:hAnsi="宋体" w:eastAsia="仿宋_GB2312" w:cs="仿宋_GB2312"/>
          <w:color w:val="000000"/>
          <w:kern w:val="0"/>
          <w:sz w:val="32"/>
          <w:szCs w:val="32"/>
          <w:lang w:bidi="ar"/>
        </w:rPr>
        <w:t>201</w:t>
      </w:r>
      <w:r>
        <w:rPr>
          <w:rFonts w:hint="eastAsia" w:ascii="仿宋_GB2312" w:hAnsi="宋体" w:eastAsia="仿宋_GB2312" w:cs="仿宋_GB2312"/>
          <w:color w:val="000000"/>
          <w:kern w:val="0"/>
          <w:sz w:val="32"/>
          <w:szCs w:val="32"/>
          <w:lang w:val="en-US" w:eastAsia="zh-CN" w:bidi="ar"/>
        </w:rPr>
        <w:t>9</w:t>
      </w:r>
      <w:r>
        <w:rPr>
          <w:rFonts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lang w:bidi="ar"/>
        </w:rPr>
        <w:t>一般公共预算</w:t>
      </w:r>
      <w:r>
        <w:rPr>
          <w:rFonts w:ascii="仿宋_GB2312" w:hAnsi="宋体" w:eastAsia="仿宋_GB2312" w:cs="仿宋_GB2312"/>
          <w:color w:val="000000"/>
          <w:kern w:val="0"/>
          <w:sz w:val="32"/>
          <w:szCs w:val="32"/>
          <w:lang w:bidi="ar"/>
        </w:rPr>
        <w:t>财政拨款支出</w:t>
      </w:r>
      <w:r>
        <w:rPr>
          <w:rFonts w:hint="eastAsia" w:ascii="仿宋_GB2312" w:hAnsi="仿宋" w:eastAsia="仿宋_GB2312"/>
          <w:color w:val="auto"/>
          <w:sz w:val="32"/>
          <w:szCs w:val="32"/>
          <w:lang w:val="en-US" w:eastAsia="zh-CN"/>
        </w:rPr>
        <w:t>209.59</w:t>
      </w:r>
      <w:r>
        <w:rPr>
          <w:rFonts w:ascii="仿宋_GB2312" w:hAnsi="宋体" w:eastAsia="仿宋_GB2312" w:cs="仿宋_GB2312"/>
          <w:color w:val="000000"/>
          <w:kern w:val="0"/>
          <w:sz w:val="32"/>
          <w:szCs w:val="32"/>
          <w:lang w:bidi="ar"/>
        </w:rPr>
        <w:t>万元，占本年支出合计</w:t>
      </w:r>
      <w:r>
        <w:rPr>
          <w:rFonts w:hint="eastAsia" w:ascii="仿宋_GB2312" w:hAnsi="宋体" w:eastAsia="仿宋_GB2312" w:cs="仿宋_GB2312"/>
          <w:color w:val="000000"/>
          <w:kern w:val="0"/>
          <w:sz w:val="32"/>
          <w:szCs w:val="32"/>
          <w:lang w:eastAsia="zh-CN" w:bidi="ar"/>
        </w:rPr>
        <w:t>的</w:t>
      </w:r>
      <w:r>
        <w:rPr>
          <w:rFonts w:hint="eastAsia" w:ascii="仿宋_GB2312" w:hAnsi="宋体" w:eastAsia="仿宋_GB2312" w:cs="仿宋_GB2312"/>
          <w:color w:val="000000"/>
          <w:kern w:val="0"/>
          <w:sz w:val="32"/>
          <w:szCs w:val="32"/>
          <w:lang w:val="en-US" w:eastAsia="zh-CN" w:bidi="ar"/>
        </w:rPr>
        <w:t>46.68</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37.10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15.04</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color w:val="auto"/>
          <w:sz w:val="32"/>
          <w:szCs w:val="32"/>
          <w:lang w:val="en-US" w:eastAsia="zh-CN"/>
        </w:rPr>
        <w:t>2019年度其他收入增加，2019年度残疾人部门项目预算收入减少。</w:t>
      </w:r>
    </w:p>
    <w:p>
      <w:pPr>
        <w:widowControl/>
        <w:jc w:val="left"/>
      </w:pPr>
    </w:p>
    <w:p>
      <w:pPr>
        <w:spacing w:line="360" w:lineRule="auto"/>
        <w:ind w:firstLine="643" w:firstLineChars="200"/>
        <w:rPr>
          <w:rFonts w:hint="eastAsia" w:ascii="楷体_GB2312" w:hAnsi="宋体" w:eastAsia="楷体_GB2312" w:cs="楷体_GB2312"/>
          <w:b/>
          <w:color w:val="000000"/>
          <w:kern w:val="0"/>
          <w:sz w:val="32"/>
          <w:szCs w:val="32"/>
          <w:lang w:bidi="ar"/>
        </w:rPr>
      </w:pPr>
    </w:p>
    <w:p>
      <w:pPr>
        <w:spacing w:line="360" w:lineRule="auto"/>
        <w:ind w:firstLine="643" w:firstLineChars="200"/>
        <w:rPr>
          <w:rFonts w:hint="eastAsia" w:ascii="楷体_GB2312" w:hAnsi="宋体" w:eastAsia="楷体_GB2312" w:cs="楷体_GB2312"/>
          <w:b/>
          <w:color w:val="000000"/>
          <w:kern w:val="0"/>
          <w:sz w:val="32"/>
          <w:szCs w:val="32"/>
          <w:lang w:eastAsia="zh-CN" w:bidi="ar"/>
        </w:rPr>
      </w:pPr>
      <w:r>
        <w:rPr>
          <w:rFonts w:hint="eastAsia" w:ascii="楷体_GB2312" w:hAnsi="宋体" w:eastAsia="楷体_GB2312" w:cs="楷体_GB2312"/>
          <w:b/>
          <w:color w:val="000000"/>
          <w:kern w:val="0"/>
          <w:sz w:val="32"/>
          <w:szCs w:val="32"/>
          <w:lang w:eastAsia="zh-CN" w:bidi="ar"/>
        </w:rPr>
        <w:drawing>
          <wp:inline distT="0" distB="0" distL="114300" distR="114300">
            <wp:extent cx="4708525" cy="2896235"/>
            <wp:effectExtent l="4445" t="4445" r="1143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w:t>
      </w:r>
      <w:r>
        <w:rPr>
          <w:rFonts w:hint="eastAsia" w:ascii="仿宋_GB2312" w:hAnsi="宋体" w:eastAsia="仿宋_GB2312" w:cs="仿宋_GB2312"/>
          <w:color w:val="000000"/>
          <w:kern w:val="0"/>
          <w:sz w:val="32"/>
          <w:szCs w:val="32"/>
          <w:lang w:eastAsia="zh-CN" w:bidi="ar"/>
        </w:rPr>
        <w:t>一般公共预算</w:t>
      </w:r>
      <w:r>
        <w:rPr>
          <w:rFonts w:ascii="仿宋_GB2312" w:hAnsi="宋体" w:eastAsia="仿宋_GB2312" w:cs="仿宋_GB2312"/>
          <w:color w:val="000000"/>
          <w:kern w:val="0"/>
          <w:sz w:val="32"/>
          <w:szCs w:val="32"/>
          <w:lang w:bidi="ar"/>
        </w:rPr>
        <w:t>财政拨款支出年初预算为</w:t>
      </w:r>
      <w:r>
        <w:rPr>
          <w:rFonts w:hint="eastAsia" w:ascii="仿宋_GB2312" w:hAnsi="宋体" w:eastAsia="仿宋_GB2312" w:cs="仿宋_GB2312"/>
          <w:color w:val="000000"/>
          <w:kern w:val="0"/>
          <w:sz w:val="32"/>
          <w:szCs w:val="32"/>
          <w:lang w:val="en-US" w:eastAsia="zh-CN" w:bidi="ar"/>
        </w:rPr>
        <w:t>130.87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209.59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160.15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 xml:space="preserve">（款）行政运行（项）。 </w:t>
      </w:r>
    </w:p>
    <w:p>
      <w:pPr>
        <w:widowControl/>
        <w:jc w:val="left"/>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68.03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81.82</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120.27</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工资普调等政策性原因引发生的支出增加。</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color w:val="000000"/>
          <w:kern w:val="0"/>
          <w:sz w:val="32"/>
          <w:szCs w:val="32"/>
          <w:lang w:val="en-US" w:eastAsia="zh-CN" w:bidi="ar"/>
        </w:rPr>
        <w:t>2.</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残疾人康复</w:t>
      </w:r>
      <w:r>
        <w:rPr>
          <w:rFonts w:ascii="仿宋_GB2312" w:hAnsi="宋体" w:eastAsia="仿宋_GB2312" w:cs="仿宋_GB2312"/>
          <w:b/>
          <w:color w:val="000000"/>
          <w:kern w:val="0"/>
          <w:sz w:val="32"/>
          <w:szCs w:val="32"/>
          <w:lang w:bidi="ar"/>
        </w:rPr>
        <w:t>（项）</w:t>
      </w:r>
      <w:r>
        <w:rPr>
          <w:rFonts w:hint="eastAsia" w:ascii="仿宋_GB2312" w:hAnsi="宋体" w:eastAsia="仿宋_GB2312" w:cs="仿宋_GB2312"/>
          <w:b/>
          <w:color w:val="000000"/>
          <w:kern w:val="0"/>
          <w:sz w:val="32"/>
          <w:szCs w:val="32"/>
          <w:lang w:eastAsia="zh-CN" w:bidi="ar"/>
        </w:rPr>
        <w:t>。</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26.5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28.17</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106.30</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中省下达项目资金。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color w:val="000000"/>
          <w:kern w:val="0"/>
          <w:sz w:val="32"/>
          <w:szCs w:val="32"/>
          <w:lang w:val="en-US" w:eastAsia="zh-CN" w:bidi="ar"/>
        </w:rPr>
        <w:t>3.</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残疾人就业和扶贫</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11.84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49.96</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421.96</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中省下达项目资金。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color w:val="000000"/>
          <w:kern w:val="0"/>
          <w:sz w:val="32"/>
          <w:szCs w:val="32"/>
          <w:lang w:val="en-US" w:eastAsia="zh-CN" w:bidi="ar"/>
        </w:rPr>
        <w:t>4.</w:t>
      </w:r>
      <w:r>
        <w:rPr>
          <w:rFonts w:hint="eastAsia" w:ascii="仿宋_GB2312" w:hAnsi="宋体" w:eastAsia="仿宋_GB2312" w:cs="仿宋_GB2312"/>
          <w:b/>
          <w:color w:val="000000"/>
          <w:kern w:val="0"/>
          <w:sz w:val="32"/>
          <w:szCs w:val="32"/>
          <w:lang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eastAsia="zh-CN" w:bidi="ar"/>
        </w:rPr>
        <w:t>残疾人事业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eastAsia="zh-CN" w:bidi="ar"/>
        </w:rPr>
        <w:t>其他残疾人事业支出</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24.5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49.64</w:t>
      </w:r>
      <w:r>
        <w:rPr>
          <w:rFonts w:ascii="仿宋_GB2312" w:hAnsi="宋体" w:eastAsia="仿宋_GB2312" w:cs="仿宋_GB2312"/>
          <w:color w:val="000000"/>
          <w:kern w:val="0"/>
          <w:sz w:val="32"/>
          <w:szCs w:val="32"/>
          <w:lang w:bidi="ar"/>
        </w:rPr>
        <w:t>元，完成年初预算的</w:t>
      </w:r>
      <w:r>
        <w:rPr>
          <w:rFonts w:hint="eastAsia" w:ascii="仿宋_GB2312" w:hAnsi="宋体" w:eastAsia="仿宋_GB2312" w:cs="仿宋_GB2312"/>
          <w:color w:val="000000"/>
          <w:kern w:val="0"/>
          <w:sz w:val="32"/>
          <w:szCs w:val="32"/>
          <w:lang w:val="en-US" w:eastAsia="zh-CN" w:bidi="ar"/>
        </w:rPr>
        <w:t>202.61</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中省下达项目资金。</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hint="default" w:ascii="仿宋_GB2312" w:hAnsi="仿宋_GB2312" w:eastAsia="仿宋_GB2312" w:cs="仿宋_GB2312"/>
          <w:color w:val="000000"/>
          <w:kern w:val="0"/>
          <w:sz w:val="31"/>
          <w:szCs w:val="31"/>
          <w:lang w:val="en-US"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83.29</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75.05</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，其中残疾人事业（款）行政运行（项）</w:t>
      </w:r>
      <w:r>
        <w:rPr>
          <w:rFonts w:hint="eastAsia" w:ascii="仿宋_GB2312" w:hAnsi="仿宋_GB2312" w:eastAsia="仿宋_GB2312" w:cs="仿宋_GB2312"/>
          <w:color w:val="000000"/>
          <w:kern w:val="0"/>
          <w:sz w:val="31"/>
          <w:szCs w:val="31"/>
          <w:lang w:val="en-US" w:eastAsia="zh-CN" w:bidi="ar"/>
        </w:rPr>
        <w:t>73.57万元，</w:t>
      </w:r>
      <w:r>
        <w:rPr>
          <w:rFonts w:hint="eastAsia" w:ascii="仿宋_GB2312" w:hAnsi="仿宋_GB2312" w:eastAsia="仿宋_GB2312" w:cs="仿宋_GB2312"/>
          <w:color w:val="000000"/>
          <w:kern w:val="0"/>
          <w:sz w:val="31"/>
          <w:szCs w:val="31"/>
          <w:lang w:eastAsia="zh-CN" w:bidi="ar"/>
        </w:rPr>
        <w:t>残疾人事业（款）其他残疾人事业支出（项）</w:t>
      </w:r>
      <w:r>
        <w:rPr>
          <w:rFonts w:hint="eastAsia" w:ascii="仿宋_GB2312" w:hAnsi="仿宋_GB2312" w:eastAsia="仿宋_GB2312" w:cs="仿宋_GB2312"/>
          <w:color w:val="000000"/>
          <w:kern w:val="0"/>
          <w:sz w:val="31"/>
          <w:szCs w:val="31"/>
          <w:lang w:val="en-US" w:eastAsia="zh-CN" w:bidi="ar"/>
        </w:rPr>
        <w:t>1.48万元；</w:t>
      </w:r>
      <w:r>
        <w:rPr>
          <w:rFonts w:ascii="仿宋_GB2312" w:hAnsi="仿宋_GB2312" w:eastAsia="仿宋_GB2312" w:cs="仿宋_GB2312"/>
          <w:color w:val="000000"/>
          <w:kern w:val="0"/>
          <w:sz w:val="31"/>
          <w:szCs w:val="31"/>
          <w:lang w:bidi="ar"/>
        </w:rPr>
        <w:t>公用经费支出</w:t>
      </w:r>
      <w:r>
        <w:rPr>
          <w:rFonts w:hint="eastAsia" w:ascii="仿宋_GB2312" w:hAnsi="仿宋_GB2312" w:eastAsia="仿宋_GB2312" w:cs="仿宋_GB2312"/>
          <w:color w:val="000000"/>
          <w:kern w:val="0"/>
          <w:sz w:val="31"/>
          <w:szCs w:val="31"/>
          <w:lang w:val="en-US" w:eastAsia="zh-CN" w:bidi="ar"/>
        </w:rPr>
        <w:t>8.25</w:t>
      </w:r>
      <w:r>
        <w:rPr>
          <w:rFonts w:ascii="仿宋_GB2312" w:hAnsi="仿宋_GB2312" w:eastAsia="仿宋_GB2312" w:cs="仿宋_GB2312"/>
          <w:color w:val="000000"/>
          <w:kern w:val="0"/>
          <w:sz w:val="31"/>
          <w:szCs w:val="31"/>
          <w:lang w:bidi="ar"/>
        </w:rPr>
        <w:t>万元</w:t>
      </w:r>
      <w:r>
        <w:rPr>
          <w:rFonts w:hint="eastAsia" w:ascii="仿宋_GB2312" w:hAnsi="仿宋_GB2312" w:eastAsia="仿宋_GB2312" w:cs="仿宋_GB2312"/>
          <w:color w:val="000000"/>
          <w:kern w:val="0"/>
          <w:sz w:val="31"/>
          <w:szCs w:val="31"/>
          <w:lang w:eastAsia="zh-CN" w:bidi="ar"/>
        </w:rPr>
        <w:t>，其中残疾人事业（款）行政运行</w:t>
      </w:r>
      <w:r>
        <w:rPr>
          <w:rFonts w:hint="eastAsia" w:ascii="仿宋_GB2312" w:hAnsi="仿宋_GB2312" w:eastAsia="仿宋_GB2312" w:cs="仿宋_GB2312"/>
          <w:color w:val="000000"/>
          <w:kern w:val="0"/>
          <w:sz w:val="31"/>
          <w:szCs w:val="31"/>
          <w:lang w:val="en-US" w:eastAsia="zh-CN" w:bidi="ar"/>
        </w:rPr>
        <w:t>8.25万元。</w:t>
      </w:r>
    </w:p>
    <w:p>
      <w:pPr>
        <w:widowControl/>
        <w:ind w:firstLine="643" w:firstLineChars="200"/>
        <w:jc w:val="left"/>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75.05</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主要包括</w:t>
      </w:r>
      <w:r>
        <w:rPr>
          <w:rFonts w:hint="eastAsia" w:ascii="仿宋_GB2312" w:hAnsi="宋体" w:eastAsia="仿宋_GB2312" w:cs="仿宋_GB2312"/>
          <w:color w:val="000000"/>
          <w:kern w:val="0"/>
          <w:sz w:val="32"/>
          <w:szCs w:val="32"/>
          <w:lang w:val="en-US" w:eastAsia="zh-CN" w:bidi="ar"/>
        </w:rPr>
        <w:t>工资福利支出75.01万元，对个人和家庭的补助0.04万元。明细如下：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val="en-US" w:eastAsia="zh-CN" w:bidi="ar"/>
        </w:rPr>
        <w:t>工资福利支出（301）75.01万元，其中</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25.10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22.53万元，奖金10.52万元，伙食补助费1.48万元，机关事业单位基本养老保险缴费7.34万元，住房公积金8.04万元</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对个人和家庭的补助（303）0.04万元，其中奖励金0.04万元。</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8.25</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商品和服务支出</w:t>
      </w:r>
      <w:r>
        <w:rPr>
          <w:rFonts w:hint="eastAsia" w:ascii="仿宋_GB2312" w:hAnsi="宋体" w:eastAsia="仿宋_GB2312" w:cs="仿宋_GB2312"/>
          <w:color w:val="000000"/>
          <w:kern w:val="0"/>
          <w:sz w:val="32"/>
          <w:szCs w:val="32"/>
          <w:lang w:val="en-US" w:eastAsia="zh-CN" w:bidi="ar"/>
        </w:rPr>
        <w:t>8.25万元。其中</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0.22万元，印刷费1.75万元，手续费0.01万元，水费0.10万元，邮电费1.25万元，差旅费0.39万元，劳务费0.50万元，工会经费1.06万元，公务用车运行维护费0.03万元，其他交通费用2.79万元，其他商品和服务支出0.15万元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1.46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92.47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严格执行中央八项规定，控制“三公经费”总额，确保“三公”只减不增</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0.92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68.15</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0.43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eastAsia="zh-CN" w:bidi="ar"/>
        </w:rPr>
        <w:t>“三公”经费财政拨款总支出的</w:t>
      </w:r>
      <w:r>
        <w:rPr>
          <w:rFonts w:hint="eastAsia" w:ascii="仿宋_GB2312" w:hAnsi="宋体" w:eastAsia="仿宋_GB2312" w:cs="仿宋_GB2312"/>
          <w:color w:val="000000"/>
          <w:kern w:val="0"/>
          <w:sz w:val="32"/>
          <w:szCs w:val="32"/>
          <w:lang w:val="en-US" w:eastAsia="zh-CN" w:bidi="ar"/>
        </w:rPr>
        <w:t>31.85</w:t>
      </w:r>
      <w:r>
        <w:rPr>
          <w:rFonts w:ascii="仿宋_GB2312" w:hAnsi="宋体" w:eastAsia="仿宋_GB2312" w:cs="仿宋_GB2312"/>
          <w:color w:val="000000"/>
          <w:kern w:val="0"/>
          <w:sz w:val="32"/>
          <w:szCs w:val="32"/>
          <w:lang w:bidi="ar"/>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708525" cy="2954020"/>
            <wp:effectExtent l="5080"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eastAsia="zh-CN"/>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无增减变化。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0.92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89.32</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 w:eastAsia="仿宋_GB2312"/>
          <w:color w:val="auto"/>
          <w:sz w:val="32"/>
          <w:szCs w:val="32"/>
          <w:lang w:eastAsia="zh-CN"/>
        </w:rPr>
        <w:t>严格执行八项规定，控制公车运行维护经费总额，确保“三公”只减不增</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4642485" cy="2353945"/>
            <wp:effectExtent l="4445" t="4445" r="20320" b="2286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 w:eastAsia="仿宋_GB2312"/>
          <w:sz w:val="32"/>
          <w:szCs w:val="32"/>
          <w:lang w:val="en-US" w:eastAsia="zh-CN"/>
        </w:rPr>
        <w:t>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0.43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0.43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严格控制公务接待人数，减少公务接待批次，确保“三公”经费不超预算</w:t>
      </w:r>
      <w:r>
        <w:rPr>
          <w:rFonts w:hint="eastAsia" w:ascii="仿宋_GB2312" w:hAnsi="宋体" w:eastAsia="仿宋_GB2312" w:cs="仿宋_GB2312"/>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4679950" cy="2410460"/>
            <wp:effectExtent l="5080" t="4445" r="20320"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25.40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5080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24.9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中省下达残疾人职业技能培训费增加</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bookmarkStart w:id="0" w:name="_GoBack"/>
      <w:bookmarkEnd w:id="0"/>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持平</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严格执行中央八项规定，精准会议支出</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pStyle w:val="6"/>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before="15" w:beforeAutospacing="0" w:after="15" w:afterAutospacing="0" w:line="640" w:lineRule="exact"/>
        <w:ind w:right="15" w:rightChars="0" w:firstLine="640" w:firstLineChars="200"/>
        <w:jc w:val="left"/>
        <w:textAlignment w:val="auto"/>
        <w:rPr>
          <w:rFonts w:hint="eastAsia" w:ascii="仿宋_GB2312" w:hAnsi="仿宋" w:eastAsia="仿宋_GB2312" w:cs="黑体"/>
          <w:kern w:val="2"/>
          <w:sz w:val="32"/>
          <w:szCs w:val="32"/>
          <w:lang w:val="en-US" w:eastAsia="zh-CN" w:bidi="ar-SA"/>
        </w:rPr>
      </w:pPr>
      <w:r>
        <w:rPr>
          <w:rFonts w:hint="eastAsia" w:ascii="仿宋_GB2312" w:hAnsi="仿宋" w:eastAsia="仿宋_GB2312" w:cs="黑体"/>
          <w:kern w:val="2"/>
          <w:sz w:val="32"/>
          <w:szCs w:val="32"/>
          <w:lang w:val="en-US" w:eastAsia="zh-CN" w:bidi="ar-SA"/>
        </w:rPr>
        <w:t>2019年度政府性基金预算财政拨款收入7.81万元，较上年增加6.82万元，主要原因为2019年度中央下达用于残疾人事业的公益彩票金增加。本年度政府性基金支出7.81万元，较上年增加6.82万元，主要原因为2019年度残疾人政府性基金预算财政拨款收入增加，因此支出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126.30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7.81</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eastAsia="zh-CN" w:bidi="ar"/>
        </w:rPr>
      </w:pPr>
      <w:r>
        <w:rPr>
          <w:rFonts w:ascii="仿宋_GB2312" w:hAnsi="仿宋_GB2312" w:eastAsia="仿宋_GB2312" w:cs="仿宋_GB2312"/>
          <w:color w:val="000000"/>
          <w:kern w:val="0"/>
          <w:sz w:val="31"/>
          <w:szCs w:val="31"/>
          <w:lang w:bidi="ar"/>
        </w:rPr>
        <w:t>根据年初设定的绩效目标，项目自评得分</w:t>
      </w:r>
      <w:r>
        <w:rPr>
          <w:rFonts w:hint="eastAsia" w:ascii="仿宋_GB2312" w:hAnsi="仿宋_GB2312" w:eastAsia="仿宋_GB2312" w:cs="仿宋_GB2312"/>
          <w:color w:val="000000"/>
          <w:kern w:val="0"/>
          <w:sz w:val="31"/>
          <w:szCs w:val="31"/>
          <w:lang w:val="en-US" w:eastAsia="zh-CN" w:bidi="ar"/>
        </w:rPr>
        <w:t>95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134.11</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134.11</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lang w:eastAsia="zh-CN" w:bidi="ar"/>
        </w:rPr>
        <w:t>如下：</w:t>
      </w:r>
    </w:p>
    <w:p>
      <w:pPr>
        <w:widowControl/>
        <w:ind w:firstLine="643" w:firstLineChars="200"/>
        <w:jc w:val="left"/>
        <w:rPr>
          <w:rFonts w:hint="eastAsia" w:ascii="仿宋_GB2312" w:hAnsi="仿宋_GB2312" w:eastAsia="仿宋_GB2312" w:cs="仿宋_GB2312"/>
          <w:b/>
          <w:bCs/>
          <w:color w:val="000000"/>
          <w:kern w:val="0"/>
          <w:sz w:val="31"/>
          <w:szCs w:val="31"/>
          <w:u w:val="none"/>
          <w:shd w:val="clear"/>
          <w:lang w:val="en-US" w:eastAsia="zh-CN" w:bidi="ar"/>
        </w:rPr>
      </w:pPr>
      <w:r>
        <w:rPr>
          <w:rFonts w:hint="eastAsia" w:ascii="仿宋_GB2312" w:hAnsi="仿宋_GB2312" w:eastAsia="仿宋_GB2312" w:cs="仿宋_GB2312"/>
          <w:b/>
          <w:bCs/>
          <w:sz w:val="32"/>
          <w:szCs w:val="32"/>
        </w:rPr>
        <w:t>2019</w:t>
      </w:r>
      <w:r>
        <w:rPr>
          <w:rFonts w:ascii="仿宋_GB2312" w:hAnsi="仿宋_GB2312" w:eastAsia="仿宋_GB2312" w:cs="仿宋_GB2312"/>
          <w:b/>
          <w:bCs/>
          <w:sz w:val="32"/>
          <w:szCs w:val="32"/>
        </w:rPr>
        <w:t>年一般公共预算项目</w:t>
      </w:r>
      <w:r>
        <w:rPr>
          <w:rFonts w:hint="eastAsia" w:ascii="仿宋_GB2312" w:hAnsi="仿宋_GB2312" w:eastAsia="仿宋_GB2312" w:cs="仿宋_GB2312"/>
          <w:b/>
          <w:bCs/>
          <w:sz w:val="32"/>
          <w:szCs w:val="32"/>
          <w:lang w:val="en-US" w:eastAsia="zh-CN"/>
        </w:rPr>
        <w:t>3</w:t>
      </w:r>
      <w:r>
        <w:rPr>
          <w:rFonts w:ascii="仿宋_GB2312" w:hAnsi="仿宋_GB2312" w:eastAsia="仿宋_GB2312" w:cs="仿宋_GB2312"/>
          <w:b/>
          <w:bCs/>
          <w:sz w:val="32"/>
          <w:szCs w:val="32"/>
        </w:rPr>
        <w:t>个，共涉及一般公共预算项目资金</w:t>
      </w:r>
      <w:r>
        <w:rPr>
          <w:rFonts w:hint="eastAsia" w:ascii="仿宋_GB2312" w:hAnsi="仿宋_GB2312" w:eastAsia="仿宋_GB2312" w:cs="仿宋_GB2312"/>
          <w:b/>
          <w:bCs/>
          <w:sz w:val="32"/>
          <w:szCs w:val="32"/>
          <w:lang w:val="en-US" w:eastAsia="zh-CN"/>
        </w:rPr>
        <w:t>126.30</w:t>
      </w:r>
      <w:r>
        <w:rPr>
          <w:rFonts w:ascii="仿宋_GB2312" w:hAnsi="仿宋_GB2312" w:eastAsia="仿宋_GB2312" w:cs="仿宋_GB2312"/>
          <w:b/>
          <w:bCs/>
          <w:sz w:val="32"/>
          <w:szCs w:val="32"/>
        </w:rPr>
        <w:t>万元，占一般公共预算项目支出总额的</w:t>
      </w:r>
      <w:r>
        <w:rPr>
          <w:rFonts w:hint="eastAsia" w:ascii="仿宋_GB2312" w:hAnsi="仿宋_GB2312" w:eastAsia="仿宋_GB2312" w:cs="仿宋_GB2312"/>
          <w:b/>
          <w:bCs/>
          <w:sz w:val="32"/>
          <w:szCs w:val="32"/>
          <w:lang w:val="en-US" w:eastAsia="zh-CN"/>
        </w:rPr>
        <w:t>100</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1.残疾人十件实事项目预算数89.36万元，支出决算为128.75万元，其中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89.36万元，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70.75</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，其他资金（上年结转结余资金）支出</w:t>
      </w:r>
      <w:r>
        <w:rPr>
          <w:rFonts w:hint="eastAsia" w:ascii="仿宋_GB2312" w:hAnsi="仿宋_GB2312" w:eastAsia="仿宋_GB2312" w:cs="仿宋_GB2312"/>
          <w:sz w:val="32"/>
          <w:szCs w:val="32"/>
          <w:lang w:val="en-US" w:eastAsia="zh-CN"/>
        </w:rPr>
        <w:t>39.39万元。</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u w:val="none"/>
          <w:shd w:val="clear"/>
          <w:lang w:val="en-US" w:eastAsia="zh-CN" w:bidi="ar"/>
        </w:rPr>
        <w:t>主要产出和效果：（1）对294名残疾人开展居家托养，提高了他们的生活指数和幸福感；（2）积极与民政、卫计、人社等部门联系，依托托养机构，累计托养肇事肇祸精神残疾人108人，实现了全区肇事肇祸精神残疾人托养全覆盖；（3）为421明名精神残疾人每人发放一次性服药补贴400元，减轻其经济负担；（4）为40名残疾人发放书刊读物、文体健身用品，不断丰富残疾人文化体育生活；（5）对全区419名有需求的残疾人提供轮椅、拐杖、助听器等辅助器具，为残疾人融入社会创造条件；（6）对150名城乡贫困残疾人开展走访慰问，对28名残疾人进行了临时救助，解决了他们的生产生活困难；（7）对全区948名参加城乡居民社会养老保险的三级、四级残疾人个人缴费部分，按每人100元予以补贴，实现了残疾人养老保险全覆盖；（8）举办残疾人职业技能和农村实用技术培训班两期，共培训残疾人250人，提高了残疾人劳动技能水平；（9）资助残疾大学生及残疾人家庭子女大学生20人，资助残疾少年儿童62人，通过开展残疾儿童学前教育和中高等特教学校补贴，使更多残疾人获得受教育的机会；（10）</w:t>
      </w:r>
    </w:p>
    <w:p>
      <w:pPr>
        <w:numPr>
          <w:ilvl w:val="0"/>
          <w:numId w:val="0"/>
        </w:numPr>
        <w:spacing w:line="620" w:lineRule="exact"/>
        <w:ind w:right="0" w:rightChars="0"/>
        <w:rPr>
          <w:rFonts w:hint="eastAsia"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u w:val="none"/>
          <w:shd w:val="clear"/>
          <w:lang w:val="en-US" w:eastAsia="zh-CN" w:bidi="ar"/>
        </w:rPr>
        <w:t>通过“全国助残日”、“爱耳日”等宣传活动广泛宣传残疾人事业，营造扶残助残的良好社会氛围。</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2.残疾儿童康复救助项目预算数6.74万元，支出决算为32.74万元，其中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6.74万元，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5.34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，其他资金（上年结转结余资金）支出</w:t>
      </w:r>
      <w:r>
        <w:rPr>
          <w:rFonts w:hint="eastAsia" w:ascii="仿宋_GB2312" w:hAnsi="仿宋_GB2312" w:eastAsia="仿宋_GB2312" w:cs="仿宋_GB2312"/>
          <w:sz w:val="32"/>
          <w:szCs w:val="32"/>
          <w:lang w:val="en-US" w:eastAsia="zh-CN"/>
        </w:rPr>
        <w:t>26万元。</w:t>
      </w:r>
    </w:p>
    <w:p>
      <w:pPr>
        <w:numPr>
          <w:ilvl w:val="0"/>
          <w:numId w:val="0"/>
        </w:numPr>
        <w:ind w:firstLine="642"/>
        <w:rPr>
          <w:rFonts w:hint="default" w:ascii="仿宋" w:hAnsi="仿宋" w:eastAsia="仿宋" w:cs="仿宋"/>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w:t>
      </w:r>
      <w:r>
        <w:rPr>
          <w:rFonts w:hint="eastAsia" w:ascii="仿宋" w:hAnsi="仿宋" w:eastAsia="仿宋" w:cs="仿宋"/>
          <w:sz w:val="32"/>
          <w:szCs w:val="32"/>
          <w:lang w:val="en-US" w:eastAsia="zh-CN"/>
        </w:rPr>
        <w:t>大力实施0-6岁残疾儿童抢救性康复项目，</w:t>
      </w:r>
      <w:r>
        <w:rPr>
          <w:rFonts w:hint="eastAsia" w:ascii="仿宋" w:hAnsi="仿宋" w:eastAsia="仿宋" w:cs="仿宋"/>
          <w:sz w:val="32"/>
          <w:szCs w:val="32"/>
        </w:rPr>
        <w:t>为</w:t>
      </w:r>
      <w:r>
        <w:rPr>
          <w:rFonts w:hint="eastAsia" w:ascii="仿宋" w:hAnsi="仿宋" w:eastAsia="仿宋" w:cs="仿宋"/>
          <w:sz w:val="32"/>
          <w:szCs w:val="32"/>
          <w:lang w:val="en-US" w:eastAsia="zh-CN"/>
        </w:rPr>
        <w:t>13名残</w:t>
      </w:r>
      <w:r>
        <w:rPr>
          <w:rFonts w:hint="eastAsia" w:ascii="仿宋" w:hAnsi="仿宋" w:eastAsia="仿宋" w:cs="仿宋"/>
          <w:sz w:val="32"/>
          <w:szCs w:val="32"/>
        </w:rPr>
        <w:t>疾儿童办理康复救助手续，送入陕西省康复医院进行</w:t>
      </w:r>
      <w:r>
        <w:rPr>
          <w:rFonts w:hint="eastAsia" w:ascii="仿宋" w:hAnsi="仿宋" w:eastAsia="仿宋" w:cs="仿宋"/>
          <w:sz w:val="32"/>
          <w:szCs w:val="32"/>
          <w:lang w:val="en-US" w:eastAsia="zh-CN"/>
        </w:rPr>
        <w:t>免费</w:t>
      </w:r>
      <w:r>
        <w:rPr>
          <w:rFonts w:hint="eastAsia" w:ascii="仿宋" w:hAnsi="仿宋" w:eastAsia="仿宋" w:cs="仿宋"/>
          <w:sz w:val="32"/>
          <w:szCs w:val="32"/>
        </w:rPr>
        <w:t>康复</w:t>
      </w:r>
      <w:r>
        <w:rPr>
          <w:rFonts w:hint="eastAsia" w:ascii="仿宋" w:hAnsi="仿宋" w:eastAsia="仿宋" w:cs="仿宋"/>
          <w:sz w:val="32"/>
          <w:szCs w:val="32"/>
          <w:lang w:val="en-US" w:eastAsia="zh-CN"/>
        </w:rPr>
        <w:t>治疗和康复训练服务</w:t>
      </w:r>
      <w:r>
        <w:rPr>
          <w:rFonts w:hint="eastAsia" w:ascii="仿宋" w:hAnsi="仿宋" w:eastAsia="仿宋" w:cs="仿宋"/>
          <w:sz w:val="32"/>
          <w:szCs w:val="32"/>
        </w:rPr>
        <w:t>，</w:t>
      </w:r>
      <w:r>
        <w:rPr>
          <w:rFonts w:hint="eastAsia" w:ascii="仿宋" w:hAnsi="仿宋" w:eastAsia="仿宋" w:cs="仿宋"/>
          <w:sz w:val="32"/>
          <w:szCs w:val="32"/>
          <w:lang w:eastAsia="zh-CN"/>
        </w:rPr>
        <w:t>提升了家长对残疾人现状的认知程度和家庭康复训练的执行度，同时也提高了</w:t>
      </w:r>
      <w:r>
        <w:rPr>
          <w:rFonts w:hint="eastAsia" w:ascii="仿宋" w:hAnsi="仿宋" w:eastAsia="仿宋" w:cs="仿宋"/>
          <w:sz w:val="32"/>
          <w:szCs w:val="32"/>
          <w:lang w:val="en-US" w:eastAsia="zh-CN"/>
        </w:rPr>
        <w:t>0-6岁残疾人儿童参与社会的活动能力。</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3.残疾人就业和扶贫项目预算数30.20万元，支出决算为32.20万元，其中</w:t>
      </w:r>
      <w:r>
        <w:rPr>
          <w:rFonts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30.20万元，</w:t>
      </w:r>
      <w:r>
        <w:rPr>
          <w:rFonts w:ascii="仿宋_GB2312" w:hAnsi="仿宋_GB2312" w:eastAsia="仿宋_GB2312" w:cs="仿宋_GB2312"/>
          <w:sz w:val="32"/>
          <w:szCs w:val="32"/>
        </w:rPr>
        <w:t>占一般公共预算项目支出总额的</w:t>
      </w:r>
      <w:r>
        <w:rPr>
          <w:rFonts w:hint="eastAsia" w:ascii="仿宋_GB2312" w:hAnsi="仿宋_GB2312" w:eastAsia="仿宋_GB2312" w:cs="仿宋_GB2312"/>
          <w:sz w:val="32"/>
          <w:szCs w:val="32"/>
          <w:lang w:val="en-US" w:eastAsia="zh-CN"/>
        </w:rPr>
        <w:t>23.91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，其他资金（上年结转结余资金）支出</w:t>
      </w:r>
      <w:r>
        <w:rPr>
          <w:rFonts w:hint="eastAsia" w:ascii="仿宋_GB2312" w:hAnsi="仿宋_GB2312" w:eastAsia="仿宋_GB2312" w:cs="仿宋_GB2312"/>
          <w:sz w:val="32"/>
          <w:szCs w:val="32"/>
          <w:lang w:val="en-US" w:eastAsia="zh-CN"/>
        </w:rPr>
        <w:t>2万元。</w:t>
      </w:r>
    </w:p>
    <w:p>
      <w:pPr>
        <w:spacing w:line="640" w:lineRule="exact"/>
        <w:ind w:firstLine="620" w:firstLineChars="200"/>
        <w:rPr>
          <w:rFonts w:hint="eastAsia" w:ascii="仿宋_GB2312" w:eastAsia="仿宋_GB2312"/>
          <w:sz w:val="32"/>
          <w:szCs w:val="32"/>
          <w:lang w:val="en-US" w:eastAsia="zh-CN"/>
        </w:rPr>
      </w:pPr>
      <w:r>
        <w:rPr>
          <w:rFonts w:hint="eastAsia" w:ascii="仿宋_GB2312" w:hAnsi="仿宋_GB2312" w:eastAsia="仿宋_GB2312" w:cs="仿宋_GB2312"/>
          <w:color w:val="000000"/>
          <w:kern w:val="0"/>
          <w:sz w:val="31"/>
          <w:szCs w:val="31"/>
          <w:u w:val="none"/>
          <w:shd w:val="clear"/>
          <w:lang w:val="en-US" w:eastAsia="zh-CN" w:bidi="ar"/>
        </w:rPr>
        <w:t>主要产出和效果：（1）区残联为全区79名村（社区）残疾人专职委员发放了每月200元的工作补贴，通过开展残疾人专职委员工作补贴项目，增强了残疾人参与社会生活的能力；（2）</w:t>
      </w:r>
      <w:r>
        <w:rPr>
          <w:rFonts w:hint="eastAsia" w:ascii="仿宋_GB2312" w:eastAsia="仿宋_GB2312"/>
          <w:sz w:val="32"/>
          <w:szCs w:val="32"/>
          <w:lang w:val="en-US" w:eastAsia="zh-CN"/>
        </w:rPr>
        <w:t>为16名具有杨陵区户籍的自主创业者发放一次性补贴支持残疾人就业创业，推进残疾人创业增收，共计支出8万元。</w:t>
      </w:r>
      <w:r>
        <w:rPr>
          <w:rFonts w:hint="eastAsia" w:ascii="仿宋_GB2312" w:hAnsi="仿宋_GB2312" w:eastAsia="仿宋_GB2312" w:cs="仿宋_GB2312"/>
          <w:color w:val="000000"/>
          <w:kern w:val="0"/>
          <w:sz w:val="31"/>
          <w:szCs w:val="31"/>
          <w:u w:val="none"/>
          <w:shd w:val="clear"/>
          <w:lang w:val="en-US" w:eastAsia="zh-CN" w:bidi="ar"/>
        </w:rPr>
        <w:t>（2）</w:t>
      </w:r>
      <w:r>
        <w:rPr>
          <w:rFonts w:hint="eastAsia" w:ascii="仿宋_GB2312" w:eastAsia="仿宋_GB2312"/>
          <w:sz w:val="32"/>
          <w:szCs w:val="32"/>
          <w:lang w:val="en-US" w:eastAsia="zh-CN"/>
        </w:rPr>
        <w:t>为16名具有杨陵区户籍的自主创业者发放一次性补贴支持残疾人就业创业，推进残疾人创业增收。</w:t>
      </w:r>
    </w:p>
    <w:p>
      <w:pPr>
        <w:widowControl/>
        <w:ind w:firstLine="620" w:firstLineChars="200"/>
        <w:jc w:val="left"/>
        <w:rPr>
          <w:rFonts w:hint="eastAsia" w:ascii="仿宋_GB2312" w:eastAsia="仿宋_GB2312"/>
          <w:sz w:val="32"/>
          <w:szCs w:val="32"/>
          <w:lang w:val="en-US" w:eastAsia="zh-CN"/>
        </w:rPr>
      </w:pPr>
      <w:r>
        <w:rPr>
          <w:rFonts w:ascii="仿宋_GB2312" w:hAnsi="仿宋_GB2312" w:eastAsia="仿宋_GB2312" w:cs="仿宋_GB2312"/>
          <w:color w:val="000000"/>
          <w:kern w:val="0"/>
          <w:sz w:val="31"/>
          <w:szCs w:val="31"/>
          <w:lang w:bidi="ar"/>
        </w:rPr>
        <w:t xml:space="preserve"> </w:t>
      </w:r>
      <w:r>
        <w:rPr>
          <w:rFonts w:ascii="仿宋_GB2312" w:hAnsi="仿宋_GB2312" w:eastAsia="仿宋_GB2312" w:cs="仿宋_GB2312"/>
          <w:b/>
          <w:bCs/>
          <w:color w:val="000000"/>
          <w:kern w:val="0"/>
          <w:sz w:val="31"/>
          <w:szCs w:val="31"/>
          <w:lang w:bidi="ar"/>
        </w:rPr>
        <w:t>2019年政府性基金预算项目</w:t>
      </w:r>
      <w:r>
        <w:rPr>
          <w:rFonts w:hint="eastAsia" w:ascii="仿宋_GB2312" w:hAnsi="仿宋_GB2312" w:eastAsia="仿宋_GB2312" w:cs="仿宋_GB2312"/>
          <w:b/>
          <w:bCs/>
          <w:color w:val="000000"/>
          <w:kern w:val="0"/>
          <w:sz w:val="31"/>
          <w:szCs w:val="31"/>
          <w:lang w:val="en-US" w:eastAsia="zh-CN" w:bidi="ar"/>
        </w:rPr>
        <w:t>1</w:t>
      </w:r>
      <w:r>
        <w:rPr>
          <w:rFonts w:ascii="仿宋_GB2312" w:hAnsi="仿宋_GB2312" w:eastAsia="仿宋_GB2312" w:cs="仿宋_GB2312"/>
          <w:b/>
          <w:bCs/>
          <w:color w:val="000000"/>
          <w:kern w:val="0"/>
          <w:sz w:val="31"/>
          <w:szCs w:val="31"/>
          <w:lang w:bidi="ar"/>
        </w:rPr>
        <w:t>个</w:t>
      </w:r>
      <w:r>
        <w:rPr>
          <w:rFonts w:hint="eastAsia" w:ascii="仿宋_GB2312" w:hAnsi="仿宋_GB2312" w:eastAsia="仿宋_GB2312" w:cs="仿宋_GB2312"/>
          <w:b/>
          <w:bCs/>
          <w:color w:val="000000"/>
          <w:kern w:val="0"/>
          <w:sz w:val="31"/>
          <w:szCs w:val="31"/>
          <w:lang w:eastAsia="zh-CN" w:bidi="ar"/>
        </w:rPr>
        <w:t>，</w:t>
      </w:r>
      <w:r>
        <w:rPr>
          <w:rFonts w:ascii="仿宋_GB2312" w:hAnsi="仿宋_GB2312" w:eastAsia="仿宋_GB2312" w:cs="仿宋_GB2312"/>
          <w:b/>
          <w:bCs/>
          <w:color w:val="000000"/>
          <w:kern w:val="0"/>
          <w:sz w:val="31"/>
          <w:szCs w:val="31"/>
          <w:lang w:bidi="ar"/>
        </w:rPr>
        <w:t>共涉及资金</w:t>
      </w:r>
      <w:r>
        <w:rPr>
          <w:rFonts w:hint="eastAsia" w:ascii="仿宋_GB2312" w:hAnsi="仿宋_GB2312" w:eastAsia="仿宋_GB2312" w:cs="仿宋_GB2312"/>
          <w:b/>
          <w:bCs/>
          <w:color w:val="000000"/>
          <w:kern w:val="0"/>
          <w:sz w:val="31"/>
          <w:szCs w:val="31"/>
          <w:lang w:val="en-US" w:eastAsia="zh-CN" w:bidi="ar"/>
        </w:rPr>
        <w:t>7.81</w:t>
      </w:r>
      <w:r>
        <w:rPr>
          <w:rFonts w:ascii="仿宋_GB2312" w:hAnsi="仿宋_GB2312" w:eastAsia="仿宋_GB2312" w:cs="仿宋_GB2312"/>
          <w:b/>
          <w:bCs/>
          <w:color w:val="000000"/>
          <w:kern w:val="0"/>
          <w:sz w:val="31"/>
          <w:szCs w:val="31"/>
          <w:lang w:bidi="ar"/>
        </w:rPr>
        <w:t>万元，占政府性基金预算项目支出总额的</w:t>
      </w:r>
      <w:r>
        <w:rPr>
          <w:rFonts w:hint="eastAsia" w:ascii="仿宋_GB2312" w:hAnsi="仿宋_GB2312" w:eastAsia="仿宋_GB2312" w:cs="仿宋_GB2312"/>
          <w:b/>
          <w:bCs/>
          <w:color w:val="000000"/>
          <w:kern w:val="0"/>
          <w:sz w:val="31"/>
          <w:szCs w:val="31"/>
          <w:lang w:val="en-US" w:eastAsia="zh-CN" w:bidi="ar"/>
        </w:rPr>
        <w:t>100</w:t>
      </w:r>
      <w:r>
        <w:rPr>
          <w:rFonts w:ascii="仿宋_GB2312" w:hAnsi="仿宋_GB2312" w:eastAsia="仿宋_GB2312" w:cs="仿宋_GB2312"/>
          <w:b/>
          <w:bCs/>
          <w:color w:val="000000"/>
          <w:kern w:val="0"/>
          <w:sz w:val="31"/>
          <w:szCs w:val="31"/>
          <w:lang w:bidi="ar"/>
        </w:rPr>
        <w:t>%</w:t>
      </w:r>
      <w:r>
        <w:rPr>
          <w:rFonts w:hint="eastAsia" w:ascii="仿宋_GB2312" w:hAnsi="仿宋_GB2312" w:eastAsia="仿宋_GB2312" w:cs="仿宋_GB2312"/>
          <w:b/>
          <w:bCs/>
          <w:color w:val="000000"/>
          <w:kern w:val="0"/>
          <w:sz w:val="31"/>
          <w:szCs w:val="31"/>
          <w:lang w:eastAsia="zh-CN" w:bidi="ar"/>
        </w:rPr>
        <w:t>。其中：</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left"/>
        <w:textAlignment w:val="auto"/>
        <w:rPr>
          <w:rFonts w:hint="default" w:ascii="仿宋_GB2312" w:hAnsi="仿宋_GB2312" w:eastAsia="仿宋_GB2312" w:cs="仿宋_GB2312"/>
          <w:color w:val="000000"/>
          <w:kern w:val="0"/>
          <w:sz w:val="31"/>
          <w:szCs w:val="31"/>
          <w:u w:val="none"/>
          <w:shd w:val="clear"/>
          <w:lang w:val="en-US" w:eastAsia="zh-CN" w:bidi="ar"/>
        </w:rPr>
      </w:pPr>
      <w:r>
        <w:rPr>
          <w:rFonts w:hint="eastAsia" w:ascii="仿宋_GB2312" w:hAnsi="仿宋_GB2312" w:eastAsia="仿宋_GB2312" w:cs="仿宋_GB2312"/>
          <w:color w:val="000000"/>
          <w:kern w:val="0"/>
          <w:sz w:val="31"/>
          <w:szCs w:val="31"/>
          <w:u w:val="none"/>
          <w:shd w:val="clear"/>
          <w:lang w:val="en-US" w:eastAsia="zh-CN" w:bidi="ar"/>
        </w:rPr>
        <w:t>1.政府性基金预算项目预算数7.81万元，支出决算为7.81万元，其中政府性基金预算财政拨款支出7.81万元，占政府性基金预算项目支出总额的100%。</w:t>
      </w:r>
    </w:p>
    <w:p>
      <w:pPr>
        <w:ind w:firstLine="620" w:firstLineChars="200"/>
        <w:rPr>
          <w:rFonts w:ascii="楷体" w:hAnsi="楷体" w:eastAsia="楷体" w:cs="楷体"/>
          <w:sz w:val="32"/>
          <w:szCs w:val="32"/>
        </w:rPr>
      </w:pPr>
      <w:r>
        <w:rPr>
          <w:rFonts w:hint="eastAsia" w:ascii="仿宋_GB2312" w:hAnsi="仿宋_GB2312" w:eastAsia="仿宋_GB2312" w:cs="仿宋_GB2312"/>
          <w:color w:val="000000"/>
          <w:kern w:val="0"/>
          <w:sz w:val="31"/>
          <w:szCs w:val="31"/>
          <w:u w:val="none"/>
          <w:shd w:val="clear"/>
          <w:lang w:val="en-US" w:eastAsia="zh-CN" w:bidi="ar"/>
        </w:rPr>
        <w:t>主要产出和效果：</w:t>
      </w:r>
      <w:r>
        <w:rPr>
          <w:rFonts w:hint="eastAsia" w:ascii="仿宋_GB2312" w:eastAsia="仿宋_GB2312"/>
          <w:sz w:val="32"/>
          <w:szCs w:val="32"/>
          <w:lang w:val="en-US" w:eastAsia="zh-CN"/>
        </w:rPr>
        <w:t>1.对24户重度残疾人家庭按照每户2500元的标准进行了家庭无障碍改造工作，通过实施贫困重度残疾人家庭无障碍改造项目，解决重度残疾人出行难、如厕难、生活难等实际困难；组织40名残疾人参加宣传文化“五个一”活动，丰富残疾人文化生活，使残疾人参与社会生活的条件逐步优化。</w:t>
      </w:r>
    </w:p>
    <w:p>
      <w:pPr>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在示范区、区委、区政府的领导和省残联的精</w:t>
      </w:r>
      <w:r>
        <w:rPr>
          <w:rFonts w:hint="eastAsia" w:ascii="仿宋_GB2312" w:eastAsia="仿宋_GB2312"/>
          <w:sz w:val="32"/>
          <w:szCs w:val="32"/>
        </w:rPr>
        <w:t>心指导下，在有关部门和社会各界的大力支持下</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区残联虽然圆满完成了年初目标，但仍存在</w:t>
      </w:r>
      <w:r>
        <w:rPr>
          <w:rFonts w:hint="eastAsia" w:ascii="仿宋" w:hAnsi="仿宋" w:eastAsia="仿宋"/>
          <w:sz w:val="32"/>
          <w:szCs w:val="32"/>
          <w:lang w:val="en-US" w:eastAsia="zh-CN"/>
        </w:rPr>
        <w:t>残疾人辅具需求数据统计时间较长，辅具、居家托养等采购项目采购进度慢的问题。</w:t>
      </w:r>
    </w:p>
    <w:p>
      <w:pPr>
        <w:ind w:firstLine="640" w:firstLineChars="200"/>
        <w:rPr>
          <w:rFonts w:hint="default" w:ascii="楷体" w:hAnsi="楷体" w:eastAsia="楷体" w:cs="楷体"/>
          <w:sz w:val="32"/>
          <w:szCs w:val="32"/>
          <w:lang w:val="en-US" w:eastAsia="zh-CN"/>
        </w:rPr>
        <w:sectPr>
          <w:footerReference r:id="rId3" w:type="default"/>
          <w:pgSz w:w="11906" w:h="16838"/>
          <w:pgMar w:top="1785" w:right="1588" w:bottom="2098" w:left="1474" w:header="851" w:footer="992" w:gutter="0"/>
          <w:cols w:space="0" w:num="1"/>
          <w:docGrid w:type="lines" w:linePitch="315" w:charSpace="0"/>
        </w:sectPr>
      </w:pPr>
      <w:r>
        <w:rPr>
          <w:rFonts w:hint="eastAsia" w:ascii="仿宋_GB2312" w:hAnsi="仿宋_GB2312" w:eastAsia="仿宋_GB2312" w:cs="仿宋_GB2312"/>
          <w:sz w:val="32"/>
          <w:szCs w:val="32"/>
          <w:lang w:val="en-US" w:eastAsia="zh-CN"/>
        </w:rPr>
        <w:t>下一步，区残联将加强业务协调，形成整体管理合力，充分发挥内部“跟踪问效岗位责任制”，推进项目资金按要求落地，按规范使用。</w:t>
      </w:r>
    </w:p>
    <w:p>
      <w:pPr>
        <w:widowControl/>
        <w:ind w:left="-824" w:leftChars="-400" w:hanging="16" w:hangingChars="5"/>
        <w:jc w:val="left"/>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789.75pt;width:546.6pt;" o:ole="t" filled="f" o:preferrelative="t" stroked="f" coordsize="21600,21600">
            <v:path/>
            <v:fill on="f" focussize="0,0"/>
            <v:stroke on="f"/>
            <v:imagedata r:id="rId15" o:title=""/>
            <o:lock v:ext="edit" aspectratio="t"/>
            <w10:wrap type="none"/>
            <w10:anchorlock/>
          </v:shape>
          <o:OLEObject Type="Embed" ProgID="Excel.Sheet.8" ShapeID="_x0000_i1025" DrawAspect="Content" ObjectID="_1468075725" r:id="rId14">
            <o:LockedField>false</o:LockedField>
          </o:OLEObject>
        </w:object>
      </w:r>
      <w:r>
        <w:rPr>
          <w:rFonts w:hint="eastAsia" w:ascii="楷体" w:hAnsi="楷体" w:eastAsia="楷体" w:cs="楷体"/>
          <w:sz w:val="32"/>
          <w:szCs w:val="32"/>
        </w:rPr>
        <w:object>
          <v:shape id="_x0000_i1026" o:spt="75" type="#_x0000_t75" style="height:646.95pt;width:533.25pt;" o:ole="t" filled="f" o:preferrelative="t" stroked="f" coordsize="21600,21600">
            <v:path/>
            <v:fill on="f" focussize="0,0"/>
            <v:stroke on="f"/>
            <v:imagedata r:id="rId17" o:title=""/>
            <o:lock v:ext="edit" aspectratio="t"/>
            <w10:wrap type="none"/>
            <w10:anchorlock/>
          </v:shape>
          <o:OLEObject Type="Embed" ProgID="Excel.Sheet.8" ShapeID="_x0000_i1026" DrawAspect="Content" ObjectID="_1468075726" r:id="rId16">
            <o:LockedField>false</o:LockedField>
          </o:OLEObject>
        </w:object>
      </w:r>
      <w:r>
        <w:rPr>
          <w:rFonts w:hint="eastAsia" w:ascii="楷体" w:hAnsi="楷体" w:eastAsia="楷体" w:cs="楷体"/>
          <w:sz w:val="32"/>
          <w:szCs w:val="32"/>
        </w:rPr>
        <w:object>
          <v:shape id="_x0000_i1027" o:spt="75" type="#_x0000_t75" style="height:688.05pt;width:533.25pt;" o:ole="t" filled="f" o:preferrelative="t" stroked="f" coordsize="21600,21600">
            <v:path/>
            <v:fill on="f" focussize="0,0"/>
            <v:stroke on="f"/>
            <v:imagedata r:id="rId19" o:title=""/>
            <o:lock v:ext="edit" aspectratio="t"/>
            <w10:wrap type="none"/>
            <w10:anchorlock/>
          </v:shape>
          <o:OLEObject Type="Embed" ProgID="Excel.Sheet.8" ShapeID="_x0000_i1027" DrawAspect="Content" ObjectID="_1468075727" r:id="rId18">
            <o:LockedField>false</o:LockedField>
          </o:OLEObject>
        </w:object>
      </w:r>
    </w:p>
    <w:p>
      <w:pPr>
        <w:widowControl/>
        <w:ind w:left="-824" w:leftChars="-400" w:hanging="16" w:hangingChars="5"/>
        <w:jc w:val="left"/>
        <w:rPr>
          <w:rFonts w:hint="eastAsia" w:ascii="楷体" w:hAnsi="楷体" w:eastAsia="楷体" w:cs="楷体"/>
          <w:sz w:val="32"/>
          <w:szCs w:val="32"/>
        </w:rPr>
      </w:pPr>
    </w:p>
    <w:p>
      <w:pPr>
        <w:widowControl/>
        <w:ind w:left="-824" w:leftChars="-400" w:hanging="16" w:hangingChars="5"/>
        <w:jc w:val="left"/>
        <w:rPr>
          <w:rFonts w:hint="eastAsia" w:ascii="楷体" w:hAnsi="楷体" w:eastAsia="楷体" w:cs="楷体"/>
          <w:sz w:val="32"/>
          <w:szCs w:val="32"/>
        </w:rPr>
        <w:sectPr>
          <w:pgSz w:w="11906" w:h="16838"/>
          <w:pgMar w:top="638" w:right="1474" w:bottom="1985" w:left="1588"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636.1pt;width:533.25pt;" o:ole="t" filled="f" o:preferrelative="t" stroked="f" coordsize="21600,21600">
            <v:path/>
            <v:fill on="f" focussize="0,0"/>
            <v:stroke on="f"/>
            <v:imagedata r:id="rId21" o:title=""/>
            <o:lock v:ext="edit" aspectratio="t"/>
            <w10:wrap type="none"/>
            <w10:anchorlock/>
          </v:shape>
          <o:OLEObject Type="Embed" ProgID="Excel.Sheet.8" ShapeID="_x0000_i1028" DrawAspect="Content" ObjectID="_1468075728" r:id="rId20">
            <o:LockedField>false</o:LockedField>
          </o:OLEObject>
        </w:object>
      </w:r>
    </w:p>
    <w:p>
      <w:pPr>
        <w:widowControl/>
        <w:ind w:left="-823" w:leftChars="-392" w:firstLine="403" w:firstLineChars="126"/>
        <w:jc w:val="left"/>
        <w:rPr>
          <w:rFonts w:ascii="楷体" w:hAnsi="楷体" w:eastAsia="楷体" w:cs="楷体"/>
          <w:sz w:val="32"/>
          <w:szCs w:val="32"/>
        </w:rPr>
      </w:pPr>
      <w:r>
        <w:rPr>
          <w:rFonts w:hint="eastAsia" w:ascii="楷体" w:hAnsi="楷体" w:eastAsia="楷体" w:cs="楷体"/>
          <w:sz w:val="32"/>
          <w:szCs w:val="32"/>
        </w:rPr>
        <w:object>
          <v:shape id="_x0000_i1029" o:spt="75" type="#_x0000_t75" style="height:1479.85pt;width:711.75pt;" o:ole="t" filled="f" o:preferrelative="t" stroked="f" coordsize="21600,21600">
            <v:path/>
            <v:fill on="f" focussize="0,0"/>
            <v:stroke on="f"/>
            <v:imagedata r:id="rId23" o:title=""/>
            <o:lock v:ext="edit" aspectratio="t"/>
            <w10:wrap type="none"/>
            <w10:anchorlock/>
          </v:shape>
          <o:OLEObject Type="Embed" ProgID="Excel.Sheet.8" ShapeID="_x0000_i1029" DrawAspect="Content" ObjectID="_1468075729" r:id="rId22">
            <o:LockedField>false</o:LockedField>
          </o:OLEObject>
        </w:object>
      </w:r>
    </w:p>
    <w:p>
      <w:pPr>
        <w:rPr>
          <w:rFonts w:ascii="楷体" w:hAnsi="楷体" w:eastAsia="楷体" w:cs="楷体"/>
          <w:sz w:val="32"/>
          <w:szCs w:val="32"/>
        </w:rPr>
      </w:pPr>
    </w:p>
    <w:p>
      <w:pPr>
        <w:ind w:left="-1" w:leftChars="-200" w:hanging="419" w:hangingChars="131"/>
        <w:rPr>
          <w:rFonts w:ascii="楷体" w:hAnsi="楷体" w:eastAsia="楷体" w:cs="楷体"/>
          <w:sz w:val="32"/>
          <w:szCs w:val="32"/>
        </w:rPr>
      </w:pPr>
      <w:r>
        <w:rPr>
          <w:rFonts w:hint="eastAsia" w:ascii="楷体" w:hAnsi="楷体" w:eastAsia="楷体" w:cs="楷体"/>
          <w:sz w:val="32"/>
          <w:szCs w:val="32"/>
        </w:rPr>
        <w:object>
          <v:shape id="_x0000_i1030" o:spt="75" type="#_x0000_t75" style="height:394.75pt;width:723.8pt;" o:ole="t" filled="f" o:preferrelative="t" stroked="f" coordsize="21600,21600">
            <v:path/>
            <v:fill on="f" focussize="0,0"/>
            <v:stroke on="f"/>
            <v:imagedata r:id="rId25" o:title=""/>
            <o:lock v:ext="edit" aspectratio="t"/>
            <w10:wrap type="none"/>
            <w10:anchorlock/>
          </v:shape>
          <o:OLEObject Type="Embed" ProgID="Excel.Sheet.8" ShapeID="_x0000_i1030" DrawAspect="Content" ObjectID="_1468075730" r:id="rId24">
            <o:LockedField>false</o:LockedField>
          </o:OLEObject>
        </w:object>
      </w:r>
    </w:p>
    <w:p>
      <w:pPr>
        <w:widowControl/>
        <w:jc w:val="left"/>
        <w:rPr>
          <w:rFonts w:ascii="楷体" w:hAnsi="楷体" w:eastAsia="楷体" w:cs="楷体"/>
          <w:sz w:val="32"/>
          <w:szCs w:val="32"/>
        </w:rPr>
        <w:sectPr>
          <w:pgSz w:w="16838" w:h="11906" w:orient="landscape"/>
          <w:pgMar w:top="1588" w:right="638" w:bottom="1474" w:left="1985" w:header="851" w:footer="992" w:gutter="0"/>
          <w:cols w:space="0" w:num="1"/>
          <w:docGrid w:type="lines" w:linePitch="315" w:charSpace="0"/>
        </w:sectPr>
      </w:pPr>
      <w:r>
        <w:rPr>
          <w:rFonts w:hint="eastAsia" w:ascii="楷体" w:hAnsi="楷体" w:eastAsia="楷体" w:cs="楷体"/>
          <w:sz w:val="32"/>
          <w:szCs w:val="32"/>
        </w:rPr>
        <w:object>
          <v:shape id="_x0000_i1031" o:spt="75" type="#_x0000_t75" style="height:339pt;width:645pt;" o:ole="t" filled="f" o:preferrelative="t" stroked="f" coordsize="21600,21600">
            <v:path/>
            <v:fill on="f" focussize="0,0"/>
            <v:stroke on="f"/>
            <v:imagedata r:id="rId27" o:title=""/>
            <o:lock v:ext="edit" aspectratio="t"/>
            <w10:wrap type="none"/>
            <w10:anchorlock/>
          </v:shape>
          <o:OLEObject Type="Embed" ProgID="Excel.Sheet.8" ShapeID="_x0000_i1031" DrawAspect="Content" ObjectID="_1468075731" r:id="rId26">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8.25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343.75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5.85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印刷费增加及发放车补、通讯费补贴</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119.34</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34.60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74.18</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10.57</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119.34</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119.34</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rFonts w:hint="eastAsia" w:ascii="黑体" w:hAnsi="宋体" w:eastAsia="黑体"/>
          <w:color w:val="000000"/>
          <w:kern w:val="0"/>
          <w:sz w:val="44"/>
          <w:szCs w:val="44"/>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609A8"/>
    <w:multiLevelType w:val="singleLevel"/>
    <w:tmpl w:val="DC2609A8"/>
    <w:lvl w:ilvl="0" w:tentative="0">
      <w:start w:val="2"/>
      <w:numFmt w:val="chineseCounting"/>
      <w:suff w:val="nothing"/>
      <w:lvlText w:val="（%1）"/>
      <w:lvlJc w:val="left"/>
      <w:rPr>
        <w:rFonts w:hint="eastAsia"/>
      </w:rPr>
    </w:lvl>
  </w:abstractNum>
  <w:abstractNum w:abstractNumId="1">
    <w:nsid w:val="EF0FF2EC"/>
    <w:multiLevelType w:val="singleLevel"/>
    <w:tmpl w:val="EF0FF2E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E89"/>
    <w:rsid w:val="00146787"/>
    <w:rsid w:val="00164001"/>
    <w:rsid w:val="001D7568"/>
    <w:rsid w:val="001E0A2A"/>
    <w:rsid w:val="002424C8"/>
    <w:rsid w:val="002A7893"/>
    <w:rsid w:val="002D4564"/>
    <w:rsid w:val="003364E9"/>
    <w:rsid w:val="00452E2E"/>
    <w:rsid w:val="004B6D6E"/>
    <w:rsid w:val="00555300"/>
    <w:rsid w:val="00637FBB"/>
    <w:rsid w:val="00813F4A"/>
    <w:rsid w:val="00B80654"/>
    <w:rsid w:val="00E8111E"/>
    <w:rsid w:val="01026CFA"/>
    <w:rsid w:val="013B79AC"/>
    <w:rsid w:val="01823F6F"/>
    <w:rsid w:val="01A51DFF"/>
    <w:rsid w:val="02875993"/>
    <w:rsid w:val="02E70B95"/>
    <w:rsid w:val="03534648"/>
    <w:rsid w:val="05066DE1"/>
    <w:rsid w:val="05743656"/>
    <w:rsid w:val="05880312"/>
    <w:rsid w:val="05C17082"/>
    <w:rsid w:val="061E6A00"/>
    <w:rsid w:val="067C1C62"/>
    <w:rsid w:val="07346610"/>
    <w:rsid w:val="078D7A0F"/>
    <w:rsid w:val="078F0FEA"/>
    <w:rsid w:val="084D385D"/>
    <w:rsid w:val="0857587D"/>
    <w:rsid w:val="095466F6"/>
    <w:rsid w:val="09F53D4E"/>
    <w:rsid w:val="0A042FFD"/>
    <w:rsid w:val="0A08200A"/>
    <w:rsid w:val="0A3B0308"/>
    <w:rsid w:val="0A616177"/>
    <w:rsid w:val="0A981065"/>
    <w:rsid w:val="0AB071C3"/>
    <w:rsid w:val="0AC834D6"/>
    <w:rsid w:val="0B1116AE"/>
    <w:rsid w:val="0B5168A3"/>
    <w:rsid w:val="0BA10E9E"/>
    <w:rsid w:val="0BCA06FE"/>
    <w:rsid w:val="0BE638FB"/>
    <w:rsid w:val="0BF37F29"/>
    <w:rsid w:val="0C635215"/>
    <w:rsid w:val="0CB220CF"/>
    <w:rsid w:val="0CD84062"/>
    <w:rsid w:val="0D257740"/>
    <w:rsid w:val="0DDE70F3"/>
    <w:rsid w:val="0E193904"/>
    <w:rsid w:val="0E3A72BE"/>
    <w:rsid w:val="0E827064"/>
    <w:rsid w:val="0E9D114E"/>
    <w:rsid w:val="0ED75056"/>
    <w:rsid w:val="0ED80A51"/>
    <w:rsid w:val="0F384F19"/>
    <w:rsid w:val="102E4920"/>
    <w:rsid w:val="10454C7B"/>
    <w:rsid w:val="105D60FB"/>
    <w:rsid w:val="10617EC6"/>
    <w:rsid w:val="1125294D"/>
    <w:rsid w:val="113B50A3"/>
    <w:rsid w:val="11AB635C"/>
    <w:rsid w:val="125E2600"/>
    <w:rsid w:val="12852169"/>
    <w:rsid w:val="12984981"/>
    <w:rsid w:val="129B6445"/>
    <w:rsid w:val="1320638A"/>
    <w:rsid w:val="132E46A0"/>
    <w:rsid w:val="135836DD"/>
    <w:rsid w:val="137C780A"/>
    <w:rsid w:val="13DA5A35"/>
    <w:rsid w:val="143B0A0C"/>
    <w:rsid w:val="14411117"/>
    <w:rsid w:val="14C04F89"/>
    <w:rsid w:val="14D97F99"/>
    <w:rsid w:val="150B7017"/>
    <w:rsid w:val="15252DA4"/>
    <w:rsid w:val="154553B4"/>
    <w:rsid w:val="155959C7"/>
    <w:rsid w:val="155B2010"/>
    <w:rsid w:val="1586116E"/>
    <w:rsid w:val="15BF2B11"/>
    <w:rsid w:val="161637D8"/>
    <w:rsid w:val="16993036"/>
    <w:rsid w:val="16B86E90"/>
    <w:rsid w:val="170303A1"/>
    <w:rsid w:val="17582893"/>
    <w:rsid w:val="17F50DED"/>
    <w:rsid w:val="181E18BD"/>
    <w:rsid w:val="184F23C3"/>
    <w:rsid w:val="18BB4AD7"/>
    <w:rsid w:val="18F820BF"/>
    <w:rsid w:val="191641EB"/>
    <w:rsid w:val="1931415D"/>
    <w:rsid w:val="19BA72BA"/>
    <w:rsid w:val="1A221BA3"/>
    <w:rsid w:val="1A345C34"/>
    <w:rsid w:val="1A530433"/>
    <w:rsid w:val="1A7814A6"/>
    <w:rsid w:val="1A785AE4"/>
    <w:rsid w:val="1AA82409"/>
    <w:rsid w:val="1AD71A10"/>
    <w:rsid w:val="1AF97567"/>
    <w:rsid w:val="1B0E14E4"/>
    <w:rsid w:val="1B4A3FDA"/>
    <w:rsid w:val="1B524C98"/>
    <w:rsid w:val="1C5E2F73"/>
    <w:rsid w:val="1CA51EBB"/>
    <w:rsid w:val="1CF27854"/>
    <w:rsid w:val="1D324C25"/>
    <w:rsid w:val="1D6E0C0D"/>
    <w:rsid w:val="1DC6450A"/>
    <w:rsid w:val="1E16789C"/>
    <w:rsid w:val="1E3A08AF"/>
    <w:rsid w:val="1EC5146A"/>
    <w:rsid w:val="1F020B24"/>
    <w:rsid w:val="1F0F76ED"/>
    <w:rsid w:val="1F3F2A65"/>
    <w:rsid w:val="1FF27F8B"/>
    <w:rsid w:val="1FFD27CF"/>
    <w:rsid w:val="20534604"/>
    <w:rsid w:val="207148B2"/>
    <w:rsid w:val="20782A72"/>
    <w:rsid w:val="2130635B"/>
    <w:rsid w:val="214D0861"/>
    <w:rsid w:val="219F4E9B"/>
    <w:rsid w:val="21A61445"/>
    <w:rsid w:val="221C15BB"/>
    <w:rsid w:val="22375EB6"/>
    <w:rsid w:val="22C7691E"/>
    <w:rsid w:val="22E31600"/>
    <w:rsid w:val="22E34877"/>
    <w:rsid w:val="2303008E"/>
    <w:rsid w:val="234625ED"/>
    <w:rsid w:val="237F799D"/>
    <w:rsid w:val="23E335F7"/>
    <w:rsid w:val="24084C46"/>
    <w:rsid w:val="24427903"/>
    <w:rsid w:val="24637FBA"/>
    <w:rsid w:val="2469209A"/>
    <w:rsid w:val="249C1458"/>
    <w:rsid w:val="25471F9D"/>
    <w:rsid w:val="256B0606"/>
    <w:rsid w:val="256D4D01"/>
    <w:rsid w:val="257D50CA"/>
    <w:rsid w:val="257E6E25"/>
    <w:rsid w:val="25D709C3"/>
    <w:rsid w:val="27166959"/>
    <w:rsid w:val="277F230E"/>
    <w:rsid w:val="27C57E7B"/>
    <w:rsid w:val="27FA4E7A"/>
    <w:rsid w:val="28F179B0"/>
    <w:rsid w:val="29440FCE"/>
    <w:rsid w:val="2949582C"/>
    <w:rsid w:val="29705CA2"/>
    <w:rsid w:val="29785A6B"/>
    <w:rsid w:val="29B76D6D"/>
    <w:rsid w:val="2A4A3D02"/>
    <w:rsid w:val="2A5601C5"/>
    <w:rsid w:val="2AEB7933"/>
    <w:rsid w:val="2B004E08"/>
    <w:rsid w:val="2BA30040"/>
    <w:rsid w:val="2BE20C1C"/>
    <w:rsid w:val="2C3125C1"/>
    <w:rsid w:val="2CB960AD"/>
    <w:rsid w:val="2CE204D7"/>
    <w:rsid w:val="2D025444"/>
    <w:rsid w:val="2D0720A0"/>
    <w:rsid w:val="2D1F3974"/>
    <w:rsid w:val="2D3E5CF7"/>
    <w:rsid w:val="2D4F5F22"/>
    <w:rsid w:val="2D5C1641"/>
    <w:rsid w:val="2D65122D"/>
    <w:rsid w:val="2D664A12"/>
    <w:rsid w:val="2D687277"/>
    <w:rsid w:val="2DB52EF2"/>
    <w:rsid w:val="2DCC00B7"/>
    <w:rsid w:val="2DE65DBC"/>
    <w:rsid w:val="2EA339C2"/>
    <w:rsid w:val="2F0569ED"/>
    <w:rsid w:val="2F671E6E"/>
    <w:rsid w:val="30453669"/>
    <w:rsid w:val="30792533"/>
    <w:rsid w:val="30EB240D"/>
    <w:rsid w:val="30EB5508"/>
    <w:rsid w:val="312F4B79"/>
    <w:rsid w:val="316131E2"/>
    <w:rsid w:val="316F7EAA"/>
    <w:rsid w:val="31AA6038"/>
    <w:rsid w:val="31CA19D0"/>
    <w:rsid w:val="324A3A58"/>
    <w:rsid w:val="32D94A2E"/>
    <w:rsid w:val="32F856F5"/>
    <w:rsid w:val="33620434"/>
    <w:rsid w:val="337F462B"/>
    <w:rsid w:val="33887EE3"/>
    <w:rsid w:val="33F517A9"/>
    <w:rsid w:val="340D4DFC"/>
    <w:rsid w:val="341D2AB1"/>
    <w:rsid w:val="34240952"/>
    <w:rsid w:val="34677C61"/>
    <w:rsid w:val="34875658"/>
    <w:rsid w:val="34954B41"/>
    <w:rsid w:val="34D8163F"/>
    <w:rsid w:val="358D3971"/>
    <w:rsid w:val="36565A85"/>
    <w:rsid w:val="365B0B7F"/>
    <w:rsid w:val="36CB070C"/>
    <w:rsid w:val="37567622"/>
    <w:rsid w:val="37926B34"/>
    <w:rsid w:val="37B87B2B"/>
    <w:rsid w:val="37E35622"/>
    <w:rsid w:val="38AE3A56"/>
    <w:rsid w:val="38AF3E31"/>
    <w:rsid w:val="38D94595"/>
    <w:rsid w:val="394E74D7"/>
    <w:rsid w:val="39822F11"/>
    <w:rsid w:val="39AD72DD"/>
    <w:rsid w:val="39B31527"/>
    <w:rsid w:val="39F02C6D"/>
    <w:rsid w:val="39FD24DE"/>
    <w:rsid w:val="3A0F7F1A"/>
    <w:rsid w:val="3A5C28DF"/>
    <w:rsid w:val="3A7104CE"/>
    <w:rsid w:val="3A7A55B7"/>
    <w:rsid w:val="3AA83963"/>
    <w:rsid w:val="3AC04624"/>
    <w:rsid w:val="3B121AD1"/>
    <w:rsid w:val="3B163997"/>
    <w:rsid w:val="3B7452CC"/>
    <w:rsid w:val="3BB33F4B"/>
    <w:rsid w:val="3C513E22"/>
    <w:rsid w:val="3C6A30C6"/>
    <w:rsid w:val="3C9906CB"/>
    <w:rsid w:val="3CA50519"/>
    <w:rsid w:val="3CCA3F93"/>
    <w:rsid w:val="3CFD0D2E"/>
    <w:rsid w:val="3D3B498C"/>
    <w:rsid w:val="3D564965"/>
    <w:rsid w:val="3D754945"/>
    <w:rsid w:val="3E647D0A"/>
    <w:rsid w:val="3EA71FD7"/>
    <w:rsid w:val="3EC7252D"/>
    <w:rsid w:val="3F1B17FE"/>
    <w:rsid w:val="3F4D58AA"/>
    <w:rsid w:val="3F5529D8"/>
    <w:rsid w:val="3FBB7133"/>
    <w:rsid w:val="40A92F35"/>
    <w:rsid w:val="41074C1F"/>
    <w:rsid w:val="41603979"/>
    <w:rsid w:val="417352B0"/>
    <w:rsid w:val="41766238"/>
    <w:rsid w:val="41983D05"/>
    <w:rsid w:val="41CF436B"/>
    <w:rsid w:val="422C1CD1"/>
    <w:rsid w:val="42832449"/>
    <w:rsid w:val="42A2208B"/>
    <w:rsid w:val="42FB1794"/>
    <w:rsid w:val="42FC5F8E"/>
    <w:rsid w:val="433A7A26"/>
    <w:rsid w:val="4373258C"/>
    <w:rsid w:val="43C661AB"/>
    <w:rsid w:val="43DF46C5"/>
    <w:rsid w:val="4443048B"/>
    <w:rsid w:val="44660BD8"/>
    <w:rsid w:val="4474713C"/>
    <w:rsid w:val="44780BE1"/>
    <w:rsid w:val="449D6258"/>
    <w:rsid w:val="44A21818"/>
    <w:rsid w:val="44ED67AB"/>
    <w:rsid w:val="451131A6"/>
    <w:rsid w:val="45393D51"/>
    <w:rsid w:val="45700061"/>
    <w:rsid w:val="45B7394A"/>
    <w:rsid w:val="45C06810"/>
    <w:rsid w:val="45E83428"/>
    <w:rsid w:val="4619368A"/>
    <w:rsid w:val="46622FF0"/>
    <w:rsid w:val="46A90420"/>
    <w:rsid w:val="46B848B1"/>
    <w:rsid w:val="47114A5C"/>
    <w:rsid w:val="471F2499"/>
    <w:rsid w:val="472F1689"/>
    <w:rsid w:val="47BA71FE"/>
    <w:rsid w:val="489A6E44"/>
    <w:rsid w:val="48A4086D"/>
    <w:rsid w:val="48BC12A6"/>
    <w:rsid w:val="49422742"/>
    <w:rsid w:val="499C2BB6"/>
    <w:rsid w:val="4A8400D6"/>
    <w:rsid w:val="4AEF5E3F"/>
    <w:rsid w:val="4AF84450"/>
    <w:rsid w:val="4B2B4EDF"/>
    <w:rsid w:val="4BF15DAB"/>
    <w:rsid w:val="4C102E53"/>
    <w:rsid w:val="4C192710"/>
    <w:rsid w:val="4C792964"/>
    <w:rsid w:val="4CC021D3"/>
    <w:rsid w:val="4CC31873"/>
    <w:rsid w:val="4CCE29AA"/>
    <w:rsid w:val="4CFA4FD3"/>
    <w:rsid w:val="4D5B0FBF"/>
    <w:rsid w:val="4D6E0FDF"/>
    <w:rsid w:val="4DAC7633"/>
    <w:rsid w:val="4E332ACF"/>
    <w:rsid w:val="4EE4307A"/>
    <w:rsid w:val="4EEC2C09"/>
    <w:rsid w:val="4F1D0194"/>
    <w:rsid w:val="4F82233E"/>
    <w:rsid w:val="4FB445C2"/>
    <w:rsid w:val="50266827"/>
    <w:rsid w:val="50947E98"/>
    <w:rsid w:val="50A77C2C"/>
    <w:rsid w:val="5153143F"/>
    <w:rsid w:val="5200547B"/>
    <w:rsid w:val="522A72EB"/>
    <w:rsid w:val="52A31255"/>
    <w:rsid w:val="52C30354"/>
    <w:rsid w:val="53926D3E"/>
    <w:rsid w:val="53BC386A"/>
    <w:rsid w:val="53CD0A10"/>
    <w:rsid w:val="53E91B06"/>
    <w:rsid w:val="54181D4A"/>
    <w:rsid w:val="54246D60"/>
    <w:rsid w:val="54334B28"/>
    <w:rsid w:val="545F2E8C"/>
    <w:rsid w:val="54F12DEE"/>
    <w:rsid w:val="559F3368"/>
    <w:rsid w:val="56B4647B"/>
    <w:rsid w:val="56FA19FD"/>
    <w:rsid w:val="57300F63"/>
    <w:rsid w:val="5756127B"/>
    <w:rsid w:val="57602559"/>
    <w:rsid w:val="579312A7"/>
    <w:rsid w:val="57B67F16"/>
    <w:rsid w:val="58496F83"/>
    <w:rsid w:val="58827DD4"/>
    <w:rsid w:val="58E809A5"/>
    <w:rsid w:val="58EC4E16"/>
    <w:rsid w:val="59630338"/>
    <w:rsid w:val="59B1791E"/>
    <w:rsid w:val="59C23158"/>
    <w:rsid w:val="5A0F4565"/>
    <w:rsid w:val="5A116819"/>
    <w:rsid w:val="5A7C3D70"/>
    <w:rsid w:val="5A845C7E"/>
    <w:rsid w:val="5A8A5ECD"/>
    <w:rsid w:val="5B036F6B"/>
    <w:rsid w:val="5B7B2167"/>
    <w:rsid w:val="5B8D564A"/>
    <w:rsid w:val="5BB24850"/>
    <w:rsid w:val="5C040046"/>
    <w:rsid w:val="5C5A6C3A"/>
    <w:rsid w:val="5CB424FC"/>
    <w:rsid w:val="5CF71ECF"/>
    <w:rsid w:val="5D860A9F"/>
    <w:rsid w:val="5D8650FA"/>
    <w:rsid w:val="5D9B4157"/>
    <w:rsid w:val="5E796025"/>
    <w:rsid w:val="5EE437CC"/>
    <w:rsid w:val="5EE52043"/>
    <w:rsid w:val="5F1F63A8"/>
    <w:rsid w:val="60E50D8C"/>
    <w:rsid w:val="61371747"/>
    <w:rsid w:val="61CB3917"/>
    <w:rsid w:val="620D628E"/>
    <w:rsid w:val="62214685"/>
    <w:rsid w:val="62AF44F0"/>
    <w:rsid w:val="63727F4D"/>
    <w:rsid w:val="637F00D0"/>
    <w:rsid w:val="63812119"/>
    <w:rsid w:val="63892196"/>
    <w:rsid w:val="63CE5BF1"/>
    <w:rsid w:val="649B31E4"/>
    <w:rsid w:val="65074FBA"/>
    <w:rsid w:val="650D3FCC"/>
    <w:rsid w:val="651E65C4"/>
    <w:rsid w:val="657227F8"/>
    <w:rsid w:val="6596080B"/>
    <w:rsid w:val="65B80FC5"/>
    <w:rsid w:val="66085CAD"/>
    <w:rsid w:val="66D162D3"/>
    <w:rsid w:val="66DB2CED"/>
    <w:rsid w:val="67803A28"/>
    <w:rsid w:val="67A17C8D"/>
    <w:rsid w:val="68097268"/>
    <w:rsid w:val="686B04BF"/>
    <w:rsid w:val="686C0A34"/>
    <w:rsid w:val="68963AD8"/>
    <w:rsid w:val="6934705C"/>
    <w:rsid w:val="69446195"/>
    <w:rsid w:val="69512523"/>
    <w:rsid w:val="69610A3C"/>
    <w:rsid w:val="6AEB4075"/>
    <w:rsid w:val="6B727B42"/>
    <w:rsid w:val="6BAC21EC"/>
    <w:rsid w:val="6C0D289E"/>
    <w:rsid w:val="6C1757AF"/>
    <w:rsid w:val="6C480C20"/>
    <w:rsid w:val="6C667DB5"/>
    <w:rsid w:val="6CF373F5"/>
    <w:rsid w:val="6D034202"/>
    <w:rsid w:val="6DB97DF1"/>
    <w:rsid w:val="6E2F2030"/>
    <w:rsid w:val="6E453B84"/>
    <w:rsid w:val="6FE94260"/>
    <w:rsid w:val="7014061A"/>
    <w:rsid w:val="7025638D"/>
    <w:rsid w:val="70897A91"/>
    <w:rsid w:val="71086DB5"/>
    <w:rsid w:val="71291FD0"/>
    <w:rsid w:val="719E72E3"/>
    <w:rsid w:val="71A04D30"/>
    <w:rsid w:val="72C232AD"/>
    <w:rsid w:val="72C93BDE"/>
    <w:rsid w:val="72FE7325"/>
    <w:rsid w:val="730C1E80"/>
    <w:rsid w:val="736F060F"/>
    <w:rsid w:val="74134903"/>
    <w:rsid w:val="74A41D88"/>
    <w:rsid w:val="74BA324A"/>
    <w:rsid w:val="752B4C58"/>
    <w:rsid w:val="756A36A7"/>
    <w:rsid w:val="75C31473"/>
    <w:rsid w:val="767F7812"/>
    <w:rsid w:val="76FA1208"/>
    <w:rsid w:val="7772376E"/>
    <w:rsid w:val="77C33C95"/>
    <w:rsid w:val="78295703"/>
    <w:rsid w:val="788D2221"/>
    <w:rsid w:val="788F55FF"/>
    <w:rsid w:val="796604FA"/>
    <w:rsid w:val="79AA54A8"/>
    <w:rsid w:val="79B26C21"/>
    <w:rsid w:val="79F03BF7"/>
    <w:rsid w:val="7A781F30"/>
    <w:rsid w:val="7A841036"/>
    <w:rsid w:val="7AEA2D90"/>
    <w:rsid w:val="7B093060"/>
    <w:rsid w:val="7B0D2233"/>
    <w:rsid w:val="7B2737FD"/>
    <w:rsid w:val="7B70148D"/>
    <w:rsid w:val="7BB562F7"/>
    <w:rsid w:val="7BEF29FA"/>
    <w:rsid w:val="7BF739AB"/>
    <w:rsid w:val="7C3E5E46"/>
    <w:rsid w:val="7C5B5A63"/>
    <w:rsid w:val="7C636B39"/>
    <w:rsid w:val="7C7357AB"/>
    <w:rsid w:val="7CA45EA5"/>
    <w:rsid w:val="7CCC1068"/>
    <w:rsid w:val="7CD81045"/>
    <w:rsid w:val="7D6660F0"/>
    <w:rsid w:val="7E412C46"/>
    <w:rsid w:val="7E4E03C8"/>
    <w:rsid w:val="7EA6092E"/>
    <w:rsid w:val="7EDA7E8D"/>
    <w:rsid w:val="7EE172BA"/>
    <w:rsid w:val="7EE759C2"/>
    <w:rsid w:val="7F2828D8"/>
    <w:rsid w:val="7F6B7DF6"/>
    <w:rsid w:val="7F862AAD"/>
    <w:rsid w:val="7FC53D99"/>
    <w:rsid w:val="7FD056F5"/>
    <w:rsid w:val="7FFC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批注文字 字符"/>
    <w:basedOn w:val="10"/>
    <w:link w:val="2"/>
    <w:qFormat/>
    <w:uiPriority w:val="0"/>
    <w:rPr>
      <w:rFonts w:ascii="Calibri" w:hAnsi="Calibri" w:cs="黑体"/>
      <w:kern w:val="2"/>
      <w:sz w:val="21"/>
      <w:szCs w:val="24"/>
    </w:rPr>
  </w:style>
  <w:style w:type="character" w:customStyle="1" w:styleId="13">
    <w:name w:val="批注主题 字符"/>
    <w:basedOn w:val="12"/>
    <w:link w:val="7"/>
    <w:qFormat/>
    <w:uiPriority w:val="0"/>
    <w:rPr>
      <w:rFonts w:ascii="Calibri" w:hAnsi="Calibri" w:cs="黑体"/>
      <w:b/>
      <w:bCs/>
      <w:kern w:val="2"/>
      <w:sz w:val="21"/>
      <w:szCs w:val="24"/>
    </w:rPr>
  </w:style>
  <w:style w:type="character" w:customStyle="1" w:styleId="14">
    <w:name w:val="批注框文本 字符"/>
    <w:basedOn w:val="10"/>
    <w:link w:val="3"/>
    <w:qFormat/>
    <w:uiPriority w:val="0"/>
    <w:rPr>
      <w:rFonts w:ascii="Calibri" w:hAnsi="Calibri" w:cs="黑体"/>
      <w:kern w:val="2"/>
      <w:sz w:val="18"/>
      <w:szCs w:val="18"/>
    </w:rPr>
  </w:style>
  <w:style w:type="paragraph" w:customStyle="1" w:styleId="15">
    <w:name w:val="正文文本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杨陵区残疾人联合会人员情况说明</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Sheet1!$A$2:$A$4</c:f>
              <c:strCache>
                <c:ptCount val="3"/>
                <c:pt idx="0">
                  <c:v>编制人数</c:v>
                </c:pt>
                <c:pt idx="1">
                  <c:v>实有人数</c:v>
                </c:pt>
                <c:pt idx="2">
                  <c:v>退休</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Sheet1!$A$2:$A$4</c:f>
              <c:strCache>
                <c:ptCount val="3"/>
                <c:pt idx="0">
                  <c:v>编制人数</c:v>
                </c:pt>
                <c:pt idx="1">
                  <c:v>实有人数</c:v>
                </c:pt>
                <c:pt idx="2">
                  <c:v>退休</c:v>
                </c:pt>
              </c:strCache>
            </c:strRef>
          </c:cat>
          <c:val>
            <c:numRef>
              <c:f>Sheet1!$C$2:$C$4</c:f>
              <c:numCache>
                <c:formatCode>General</c:formatCode>
                <c:ptCount val="3"/>
                <c:pt idx="0">
                  <c:v>6</c:v>
                </c:pt>
                <c:pt idx="1">
                  <c:v>6</c:v>
                </c:pt>
                <c:pt idx="2">
                  <c:v>2</c:v>
                </c:pt>
              </c:numCache>
            </c:numRef>
          </c:val>
        </c:ser>
        <c:dLbls>
          <c:showLegendKey val="0"/>
          <c:showVal val="0"/>
          <c:showCatName val="0"/>
          <c:showSerName val="0"/>
          <c:showPercent val="0"/>
          <c:showBubbleSize val="0"/>
        </c:dLbls>
        <c:gapWidth val="219"/>
        <c:overlap val="-27"/>
        <c:axId val="412121626"/>
        <c:axId val="84356880"/>
      </c:barChart>
      <c:catAx>
        <c:axId val="4121216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56880"/>
        <c:crosses val="autoZero"/>
        <c:auto val="1"/>
        <c:lblAlgn val="ctr"/>
        <c:lblOffset val="100"/>
        <c:noMultiLvlLbl val="0"/>
      </c:catAx>
      <c:valAx>
        <c:axId val="843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121626"/>
        <c:crosses val="autoZero"/>
        <c:crossBetween val="between"/>
      </c:valAx>
      <c:spPr>
        <a:noFill/>
        <a:ln>
          <a:noFill/>
        </a:ln>
        <a:effectLst/>
      </c:spPr>
    </c:plotArea>
    <c:legend>
      <c:legendPos val="b"/>
      <c:layout>
        <c:manualLayout>
          <c:xMode val="edge"/>
          <c:yMode val="edge"/>
          <c:x val="0.394886363636364"/>
          <c:y val="0.900161812297735"/>
          <c:w val="0.251538825757576"/>
          <c:h val="0.09498381877022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收入支出决算总体情况上下年比较柱形图</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421.91</c:v>
                </c:pt>
                <c:pt idx="1">
                  <c:v>448.99</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314.25</c:v>
                </c:pt>
                <c:pt idx="1">
                  <c:v>298.01</c:v>
                </c:pt>
              </c:numCache>
            </c:numRef>
          </c:val>
        </c:ser>
        <c:dLbls>
          <c:showLegendKey val="0"/>
          <c:showVal val="0"/>
          <c:showCatName val="0"/>
          <c:showSerName val="0"/>
          <c:showPercent val="0"/>
          <c:showBubbleSize val="0"/>
        </c:dLbls>
        <c:gapWidth val="219"/>
        <c:overlap val="-27"/>
        <c:axId val="668699992"/>
        <c:axId val="594960648"/>
      </c:barChart>
      <c:catAx>
        <c:axId val="6686999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960648"/>
        <c:crosses val="autoZero"/>
        <c:auto val="1"/>
        <c:lblAlgn val="ctr"/>
        <c:lblOffset val="100"/>
        <c:noMultiLvlLbl val="0"/>
      </c:catAx>
      <c:valAx>
        <c:axId val="594960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8699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sz="1400" b="0">
                <a:latin typeface="新宋体" panose="02010609030101010101" charset="-122"/>
                <a:ea typeface="新宋体" panose="02010609030101010101" charset="-122"/>
                <a:cs typeface="新宋体" panose="02010609030101010101" charset="-122"/>
              </a:rPr>
              <a:t>2019年收入构成情况</a:t>
            </a:r>
            <a:endParaRPr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manualLayout>
                  <c:x val="-0.207207207207207"/>
                  <c:y val="8.06718734941395e-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209.59</c:v>
                </c:pt>
                <c:pt idx="1">
                  <c:v>7.81</c:v>
                </c:pt>
                <c:pt idx="2">
                  <c:v>204.51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年支出构成情况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83.29</c:v>
                </c:pt>
                <c:pt idx="1">
                  <c:v>365.7</c:v>
                </c:pt>
              </c:numCache>
            </c:numRef>
          </c:val>
        </c:ser>
        <c:ser>
          <c:idx val="1"/>
          <c:order val="1"/>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财政拨款收入支出决算总体情况上下年比较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柱形图</a:t>
            </a:r>
            <a:endParaRPr altLang="en-US"/>
          </a:p>
        </c:rich>
      </c:tx>
      <c:layout>
        <c:manualLayout>
          <c:xMode val="edge"/>
          <c:yMode val="edge"/>
          <c:x val="0.144420997098391"/>
          <c:y val="0.025542784163473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217.4</c:v>
                </c:pt>
                <c:pt idx="1">
                  <c:v>217.4</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247.68</c:v>
                </c:pt>
                <c:pt idx="1">
                  <c:v>247.84</c:v>
                </c:pt>
              </c:numCache>
            </c:numRef>
          </c:val>
        </c:ser>
        <c:dLbls>
          <c:showLegendKey val="0"/>
          <c:showVal val="0"/>
          <c:showCatName val="0"/>
          <c:showSerName val="0"/>
          <c:showPercent val="0"/>
          <c:showBubbleSize val="0"/>
        </c:dLbls>
        <c:gapWidth val="219"/>
        <c:overlap val="-27"/>
        <c:axId val="643360758"/>
        <c:axId val="687254007"/>
      </c:barChart>
      <c:catAx>
        <c:axId val="64336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254007"/>
        <c:crosses val="autoZero"/>
        <c:auto val="1"/>
        <c:lblAlgn val="ctr"/>
        <c:lblOffset val="100"/>
        <c:noMultiLvlLbl val="0"/>
      </c:catAx>
      <c:valAx>
        <c:axId val="68725400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33607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一般公共预算财政拨款支出上下年比较柱形图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209.59</c:v>
                </c:pt>
              </c:numCache>
            </c:numRef>
          </c:val>
        </c:ser>
        <c:ser>
          <c:idx val="1"/>
          <c:order val="1"/>
          <c:tx>
            <c:strRef>
              <c:f>Sheet1!$C$1</c:f>
              <c:strCache>
                <c:ptCount val="1"/>
                <c:pt idx="0">
                  <c:v>2018年度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246.69</c:v>
                </c:pt>
              </c:numCache>
            </c:numRef>
          </c:val>
        </c:ser>
        <c:dLbls>
          <c:showLegendKey val="0"/>
          <c:showVal val="1"/>
          <c:showCatName val="0"/>
          <c:showSerName val="0"/>
          <c:showPercent val="0"/>
          <c:showBubbleSize val="0"/>
        </c:dLbls>
        <c:gapWidth val="219"/>
        <c:overlap val="-27"/>
        <c:axId val="721959818"/>
        <c:axId val="439831561"/>
      </c:barChart>
      <c:catAx>
        <c:axId val="721959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831561"/>
        <c:crosses val="autoZero"/>
        <c:auto val="1"/>
        <c:lblAlgn val="ctr"/>
        <c:lblOffset val="100"/>
        <c:noMultiLvlLbl val="0"/>
      </c:catAx>
      <c:valAx>
        <c:axId val="439831561"/>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598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年三公经费财政拨款支出情况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64375"/>
                  <c:y val="0.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17875"/>
                      <c:h val="0.13"/>
                    </c:manualLayout>
                  </c15:layout>
                </c:ext>
              </c:extLst>
            </c:dLbl>
            <c:dLbl>
              <c:idx val="1"/>
              <c:layout>
                <c:manualLayout>
                  <c:x val="0.249375"/>
                  <c:y val="0.0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manualLayout>
                  <c:x val="-0.01875"/>
                  <c:y val="0.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公务用车购置费</c:v>
                </c:pt>
                <c:pt idx="2">
                  <c:v>公务用车运行维护费</c:v>
                </c:pt>
                <c:pt idx="3">
                  <c:v>公务接待费</c:v>
                </c:pt>
              </c:strCache>
            </c:strRef>
          </c:cat>
          <c:val>
            <c:numRef>
              <c:f>Sheet1!$B$2:$B$5</c:f>
              <c:numCache>
                <c:formatCode>General</c:formatCode>
                <c:ptCount val="4"/>
                <c:pt idx="0">
                  <c:v>0</c:v>
                </c:pt>
                <c:pt idx="1">
                  <c:v>0</c:v>
                </c:pt>
                <c:pt idx="2">
                  <c:v>0.92</c:v>
                </c:pt>
                <c:pt idx="3">
                  <c:v>0.43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公务用车运行维护费预决算比较柱形图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Sheet1!$B$2</c:f>
              <c:numCache>
                <c:formatCode>General</c:formatCode>
                <c:ptCount val="1"/>
                <c:pt idx="0">
                  <c:v>1.03</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公务用车运行维护费</c:v>
                </c:pt>
              </c:strCache>
            </c:strRef>
          </c:cat>
          <c:val>
            <c:numRef>
              <c:f>Sheet1!$C$2</c:f>
              <c:numCache>
                <c:formatCode>General</c:formatCode>
                <c:ptCount val="1"/>
                <c:pt idx="0">
                  <c:v>0.92</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公务接待费预决算比较柱形图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0.43</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Sheet1!$C$2</c:f>
              <c:numCache>
                <c:formatCode>General</c:formatCode>
                <c:ptCount val="1"/>
                <c:pt idx="0">
                  <c:v>0.43</c:v>
                </c:pt>
              </c:numCache>
            </c:numRef>
          </c:val>
        </c:ser>
        <c:dLbls>
          <c:showLegendKey val="0"/>
          <c:showVal val="1"/>
          <c:showCatName val="0"/>
          <c:showSerName val="0"/>
          <c:showPercent val="0"/>
          <c:showBubbleSize val="0"/>
        </c:dLbls>
        <c:gapWidth val="150"/>
        <c:overlap val="0"/>
        <c:axId val="689977461"/>
        <c:axId val="25031096"/>
      </c:barChart>
      <c:catAx>
        <c:axId val="6899774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31096"/>
        <c:crosses val="autoZero"/>
        <c:auto val="1"/>
        <c:lblAlgn val="ctr"/>
        <c:lblOffset val="100"/>
        <c:noMultiLvlLbl val="0"/>
      </c:catAx>
      <c:valAx>
        <c:axId val="2503109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9774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2020-10-20T02:28:00Z</cp:lastPrinted>
  <dcterms:modified xsi:type="dcterms:W3CDTF">2020-10-21T02:11:03Z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