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杨陵区司法局2019年部门决算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九、国有资本经营财政拨款收入支出情况说明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十、预算绩效情况说明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ind w:firstLine="640"/>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ind w:firstLine="640"/>
        <w:rPr>
          <w:rFonts w:ascii="楷体" w:hAnsi="楷体" w:eastAsia="楷体" w:cs="楷体"/>
          <w:b/>
          <w:bCs/>
          <w:color w:val="000000"/>
          <w:kern w:val="0"/>
          <w:sz w:val="32"/>
          <w:szCs w:val="32"/>
          <w:lang w:bidi="ar"/>
        </w:rPr>
      </w:pPr>
      <w:r>
        <w:rPr>
          <w:rFonts w:hint="eastAsia" w:ascii="仿宋_GB2312" w:hAnsi="仿宋_GB2312" w:eastAsia="仿宋_GB2312" w:cs="仿宋_GB2312"/>
          <w:sz w:val="32"/>
          <w:szCs w:val="32"/>
        </w:rPr>
        <w:t>区司法局主要负责：1、贯彻执行国家和省司法行政工作的方针、政策和法律、法规，开展执法情况调查研究，制定司法行政规范性文件，并监督实施；2、制定全区普及法律常识规划并组织实施，指导各行业、各部门、各基层单位开展依法治理工作，承担法制宣传教育工作，制定依法治区规划；3、指导、监督律师和法律工作者工作、社会法律服务机构、“148”法律服务所业务工作及司法鉴定工作；4、落实社区矫正工作的各项决策和部署。指导、管理社区矫正工作；指导刑满释放人员的安置帮教工作。5、指导、监督公证、法律援助业务工作。6、指导、监督司法所人民调解、法制宣传、法律服务、社区矫正、安置帮教等各项工作，参与社会治安综合治理工作；7、负责司法行政系统的物资及装备工作；8完成区委、区政府及上级部门交办的其他工作。</w:t>
      </w:r>
    </w:p>
    <w:p>
      <w:pPr>
        <w:spacing w:line="360" w:lineRule="auto"/>
        <w:ind w:firstLine="643" w:firstLineChars="200"/>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spacing w:line="360" w:lineRule="auto"/>
        <w:ind w:firstLine="640" w:firstLineChars="200"/>
        <w:rPr>
          <w:rFonts w:ascii="楷体" w:hAnsi="楷体" w:eastAsia="楷体" w:cs="楷体"/>
          <w:b/>
          <w:bCs/>
          <w:color w:val="000000"/>
          <w:kern w:val="0"/>
          <w:sz w:val="32"/>
          <w:szCs w:val="32"/>
          <w:lang w:bidi="ar"/>
        </w:rPr>
      </w:pPr>
      <w:r>
        <w:rPr>
          <w:rFonts w:hint="eastAsia" w:ascii="仿宋_GB2312" w:hAnsi="仿宋_GB2312" w:eastAsia="仿宋_GB2312" w:cs="仿宋_GB2312"/>
          <w:sz w:val="32"/>
          <w:szCs w:val="32"/>
          <w:lang w:val="en-US" w:eastAsia="zh-CN"/>
        </w:rPr>
        <w:t>司法局内设办公室、法制办、基层股、社区矫正办、人民调解中心、财务室，</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属事业单位共有三个：杨陵区公证处、杨陵区法律援助中心、杨陵区普法办。</w:t>
      </w:r>
    </w:p>
    <w:p>
      <w:pPr>
        <w:widowControl/>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纳入2019年本部门决算编制范围的单位共4个，包括本级及所属3个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杨陵区司法局（本级）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杨陵区公证处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杨陵区法律援助中心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中共杨陵区委依法治区领导小组办公室</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p>
    <w:p>
      <w:pPr>
        <w:ind w:firstLine="2569" w:firstLineChars="80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杨陵区司法局人员情况说明</w:t>
      </w:r>
    </w:p>
    <w:p>
      <w:pPr>
        <w:widowControl/>
        <w:jc w:val="center"/>
        <w:rPr>
          <w:rFonts w:hint="eastAsia" w:ascii="黑体" w:hAnsi="宋体" w:eastAsia="黑体"/>
          <w:color w:val="000000"/>
          <w:kern w:val="0"/>
          <w:sz w:val="44"/>
          <w:szCs w:val="44"/>
          <w:lang w:eastAsia="zh-CN"/>
        </w:rPr>
      </w:pPr>
      <w:r>
        <w:rPr>
          <w:rFonts w:hint="eastAsia" w:ascii="黑体" w:hAnsi="宋体" w:eastAsia="黑体"/>
          <w:color w:val="000000"/>
          <w:kern w:val="0"/>
          <w:sz w:val="44"/>
          <w:szCs w:val="44"/>
          <w:lang w:eastAsia="zh-CN"/>
        </w:rPr>
        <w:drawing>
          <wp:inline distT="0" distB="0" distL="114300" distR="114300">
            <wp:extent cx="3968750" cy="2369820"/>
            <wp:effectExtent l="0" t="0" r="12700" b="11430"/>
            <wp:docPr id="3" name="图片 6" descr="PI`5WEI0IE)37ESZ~AL7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PI`5WEI0IE)37ESZ~AL7F$D"/>
                    <pic:cNvPicPr>
                      <a:picLocks noChangeAspect="1"/>
                    </pic:cNvPicPr>
                  </pic:nvPicPr>
                  <pic:blipFill>
                    <a:blip r:embed="rId5"/>
                    <a:stretch>
                      <a:fillRect/>
                    </a:stretch>
                  </pic:blipFill>
                  <pic:spPr>
                    <a:xfrm>
                      <a:off x="0" y="0"/>
                      <a:ext cx="3968750" cy="2369820"/>
                    </a:xfrm>
                    <a:prstGeom prst="rect">
                      <a:avLst/>
                    </a:prstGeom>
                    <a:noFill/>
                    <a:ln>
                      <a:noFill/>
                    </a:ln>
                  </pic:spPr>
                </pic:pic>
              </a:graphicData>
            </a:graphic>
          </wp:inline>
        </w:drawing>
      </w:r>
    </w:p>
    <w:p>
      <w:pPr>
        <w:widowControl/>
        <w:jc w:val="both"/>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10"/>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rPr>
              <w:t>无政府性基金决算收支</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杨陵区司法局</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10"/>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401.98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473.33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72.83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474.81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473.33</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8.92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10.4</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483.73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483.73</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r>
        <w:rPr>
          <w:rFonts w:hint="eastAsia" w:ascii="宋体" w:hAnsi="宋体" w:cs="宋体"/>
          <w:b/>
          <w:bCs/>
          <w:szCs w:val="21"/>
        </w:rPr>
        <w:t>编制部门：</w:t>
      </w:r>
      <w:r>
        <w:rPr>
          <w:rFonts w:hint="eastAsia" w:ascii="宋体" w:hAnsi="宋体" w:cs="宋体"/>
          <w:b/>
          <w:bCs/>
          <w:szCs w:val="21"/>
          <w:lang w:eastAsia="zh-CN"/>
        </w:rPr>
        <w:t>杨陵区司法局</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10"/>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474.81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401.98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72.83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204</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公共安全支出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474.81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401.98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72.83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20406</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司法</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474.81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401.98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72.83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2040601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155.5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155.50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2040604</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基层司法业务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16.57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16.57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2040605</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普法宣传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2040607</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法律援助</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9.05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4.21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4.84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2040610</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社区矫正</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2.81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2.81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2040650</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事业运行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157.28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157.28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2040699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其他司法支出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128.6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60.61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67.99</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杨陵区司法局</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10"/>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公共安全支出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ind w:right="210"/>
              <w:jc w:val="right"/>
              <w:rPr>
                <w:rFonts w:ascii="宋体" w:hAnsi="宋体" w:cs="宋体"/>
                <w:color w:val="000000"/>
                <w:szCs w:val="21"/>
              </w:rPr>
            </w:pPr>
            <w:r>
              <w:rPr>
                <w:rFonts w:hint="eastAsia" w:ascii="宋体" w:hAnsi="宋体" w:cs="宋体"/>
                <w:color w:val="000000"/>
                <w:szCs w:val="21"/>
              </w:rPr>
              <w:t>473.33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319.24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154.09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20406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司法</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473.33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319.24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154.09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2040601</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155.51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155.51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2040604</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基层司法业务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16.57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16.57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2040605</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普法宣传</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2040607</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法律援助</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9.05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9.05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2040610</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社区矫正</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2040650</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事业运行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157.28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157.28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2040699</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其他司法支出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127.11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120.66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杨陵区司法局</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10"/>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401.98</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401.99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杨陵区司法局</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10"/>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401.98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401.99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0.01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ascii="宋体" w:hAnsi="宋体" w:cs="宋体"/>
                <w:b/>
                <w:color w:val="000000"/>
                <w:kern w:val="0"/>
                <w:szCs w:val="21"/>
              </w:rPr>
              <w:t xml:space="preserve">         </w:t>
            </w:r>
            <w:r>
              <w:rPr>
                <w:rFonts w:hint="eastAsia" w:ascii="宋体" w:hAnsi="宋体" w:cs="宋体"/>
                <w:b/>
                <w:color w:val="000000"/>
                <w:kern w:val="0"/>
                <w:szCs w:val="21"/>
              </w:rPr>
              <w:t>0.01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401.99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401.99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杨陵区司法局</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10"/>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204</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司法</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401.99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319.24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299.88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19.37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82.75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Cs w:val="21"/>
              </w:rPr>
              <w:t>20406</w:t>
            </w:r>
            <w:r>
              <w:rPr>
                <w:rFonts w:ascii="宋体" w:hAnsi="宋体" w:cs="宋体"/>
                <w:color w:val="000000"/>
                <w:kern w:val="0"/>
                <w:szCs w:val="21"/>
              </w:rPr>
              <w:tab/>
            </w:r>
            <w:r>
              <w:rPr>
                <w:rFonts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司法</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401.99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319.24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299.88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19.37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82.75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2040601</w:t>
            </w:r>
            <w:r>
              <w:rPr>
                <w:rFonts w:ascii="宋体" w:hAnsi="宋体" w:cs="宋体"/>
                <w:color w:val="000000"/>
                <w:kern w:val="0"/>
                <w:szCs w:val="21"/>
              </w:rPr>
              <w:tab/>
            </w:r>
            <w:r>
              <w:rPr>
                <w:rFonts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155.51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155.51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136.15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19.37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2040604</w:t>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基层司法业务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16.57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16.57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2040605</w:t>
            </w:r>
            <w:r>
              <w:rPr>
                <w:rFonts w:ascii="宋体" w:hAnsi="宋体" w:cs="宋体"/>
                <w:color w:val="000000"/>
                <w:szCs w:val="21"/>
              </w:rPr>
              <w:tab/>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普法宣传</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2040607</w:t>
            </w:r>
            <w:r>
              <w:rPr>
                <w:rFonts w:ascii="宋体" w:hAnsi="宋体" w:cs="宋体"/>
                <w:color w:val="000000"/>
                <w:szCs w:val="21"/>
              </w:rPr>
              <w:tab/>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法律援助</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4.21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4.21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2040610</w:t>
            </w:r>
            <w:r>
              <w:rPr>
                <w:rFonts w:ascii="宋体" w:hAnsi="宋体" w:cs="宋体"/>
                <w:color w:val="000000"/>
                <w:szCs w:val="21"/>
              </w:rPr>
              <w:tab/>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社区矫正</w:t>
            </w:r>
            <w:r>
              <w:rPr>
                <w:rFonts w:ascii="宋体" w:hAnsi="宋体" w:cs="宋体"/>
                <w:color w:val="000000"/>
                <w:szCs w:val="21"/>
              </w:rPr>
              <w:tab/>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2040650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事业运行</w:t>
            </w:r>
            <w:r>
              <w:rPr>
                <w:rFonts w:ascii="宋体" w:hAnsi="宋体" w:cs="宋体"/>
                <w:color w:val="000000"/>
                <w:szCs w:val="21"/>
              </w:rPr>
              <w:tab/>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157.28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157.28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157.28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2040699</w:t>
            </w:r>
            <w:r>
              <w:rPr>
                <w:rFonts w:ascii="宋体" w:hAnsi="宋体" w:cs="宋体"/>
                <w:color w:val="000000"/>
                <w:szCs w:val="21"/>
              </w:rPr>
              <w:tab/>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其他司法支出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60.61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6.45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54.16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杨陵区司法局</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10"/>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319.24</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299.88</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19.37</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299.21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299.21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92.89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92.89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55.54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55.54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 xml:space="preserve"> 奖金</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43.38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43.38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伙食补助费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6.45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绩效工资</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42.99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42.99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27.63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27.63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住房公积金</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30.15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30.15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30199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其他工资福利支出</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0.18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18.53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18.53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0.68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0.68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手续费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水费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1.79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电费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邮电费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2.19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2.19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30208</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取暖费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差旅费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0.17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公务接待费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5.98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5.98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工会经费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0.46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0.46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4.59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4.59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1.06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0.67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0.67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生活补助</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0.63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奖励金</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其他资本性支出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0.84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210"/>
              <w:jc w:val="right"/>
              <w:rPr>
                <w:rFonts w:ascii="宋体" w:hAnsi="宋体" w:cs="宋体"/>
                <w:color w:val="000000"/>
                <w:szCs w:val="21"/>
              </w:rPr>
            </w:pPr>
            <w:r>
              <w:rPr>
                <w:rFonts w:hint="eastAsia" w:ascii="宋体" w:hAnsi="宋体" w:cs="宋体"/>
                <w:color w:val="000000"/>
                <w:szCs w:val="21"/>
              </w:rPr>
              <w:t>0.84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31003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0.84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0.84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杨陵区司法局</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10"/>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18.35</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12.35</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12.35</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18.29</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5.98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12.31</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12.31</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杨陵区司法局</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10"/>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年部门决算情况说明</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2019年收入474.81万元，较上年499.59万元减少24.78万元，与上年基本持平。</w:t>
      </w:r>
    </w:p>
    <w:p>
      <w:pPr>
        <w:widowControl/>
        <w:ind w:firstLine="420" w:firstLineChars="200"/>
        <w:jc w:val="left"/>
        <w:rPr>
          <w:rFonts w:ascii="仿宋_GB2312" w:hAnsi="仿宋" w:eastAsia="仿宋_GB2312"/>
          <w:sz w:val="32"/>
          <w:szCs w:val="32"/>
        </w:rPr>
      </w:pPr>
      <w:r>
        <w:drawing>
          <wp:inline distT="0" distB="0" distL="0" distR="0">
            <wp:extent cx="4572000" cy="27432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2019年支出473.33万元，较上年497.08万元减少23.75万元，与上年基本持平。</w:t>
      </w:r>
    </w:p>
    <w:p>
      <w:pPr>
        <w:widowControl/>
        <w:ind w:firstLine="420" w:firstLineChars="200"/>
        <w:jc w:val="left"/>
        <w:rPr>
          <w:rFonts w:ascii="仿宋_GB2312" w:hAnsi="仿宋" w:eastAsia="仿宋_GB2312"/>
          <w:sz w:val="32"/>
          <w:szCs w:val="32"/>
        </w:rPr>
      </w:pPr>
      <w:r>
        <w:t>、</w:t>
      </w:r>
    </w:p>
    <w:p>
      <w:pPr>
        <w:widowControl/>
        <w:ind w:firstLine="420" w:firstLineChars="200"/>
        <w:jc w:val="left"/>
        <w:rPr>
          <w:rFonts w:ascii="仿宋_GB2312" w:hAnsi="仿宋" w:eastAsia="仿宋_GB2312"/>
          <w:sz w:val="32"/>
          <w:szCs w:val="32"/>
        </w:rPr>
      </w:pPr>
      <w:r>
        <w:drawing>
          <wp:inline distT="0" distB="0" distL="0" distR="0">
            <wp:extent cx="4572000" cy="27432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年收入合计474.81万元，其中：财政拨款收入401.98万元，占</w:t>
      </w:r>
      <w:r>
        <w:rPr>
          <w:rFonts w:hint="eastAsia" w:ascii="仿宋_GB2312" w:hAnsi="宋体" w:eastAsia="仿宋_GB2312" w:cs="仿宋_GB2312"/>
          <w:color w:val="000000"/>
          <w:kern w:val="0"/>
          <w:sz w:val="32"/>
          <w:szCs w:val="32"/>
          <w:lang w:bidi="ar"/>
        </w:rPr>
        <w:t>84.66</w:t>
      </w:r>
      <w:r>
        <w:rPr>
          <w:rFonts w:ascii="仿宋_GB2312" w:hAnsi="宋体" w:eastAsia="仿宋_GB2312" w:cs="仿宋_GB2312"/>
          <w:color w:val="000000"/>
          <w:kern w:val="0"/>
          <w:sz w:val="32"/>
          <w:szCs w:val="32"/>
          <w:lang w:bidi="ar"/>
        </w:rPr>
        <w:t>%；事业收入0万元，占0%；经营收入0万元，占0%；其他收入72.83万元，占</w:t>
      </w:r>
      <w:r>
        <w:rPr>
          <w:rFonts w:hint="eastAsia" w:ascii="仿宋_GB2312" w:hAnsi="宋体" w:eastAsia="仿宋_GB2312" w:cs="仿宋_GB2312"/>
          <w:color w:val="000000"/>
          <w:kern w:val="0"/>
          <w:sz w:val="32"/>
          <w:szCs w:val="32"/>
          <w:lang w:bidi="ar"/>
        </w:rPr>
        <w:t>15.34</w:t>
      </w:r>
      <w:r>
        <w:rPr>
          <w:rFonts w:ascii="仿宋_GB2312" w:hAnsi="宋体" w:eastAsia="仿宋_GB2312" w:cs="仿宋_GB2312"/>
          <w:color w:val="000000"/>
          <w:kern w:val="0"/>
          <w:sz w:val="32"/>
          <w:szCs w:val="32"/>
          <w:lang w:bidi="ar"/>
        </w:rPr>
        <w:t>%。</w:t>
      </w:r>
    </w:p>
    <w:p>
      <w:pPr>
        <w:widowControl/>
        <w:ind w:firstLine="420" w:firstLineChars="200"/>
        <w:jc w:val="left"/>
        <w:rPr>
          <w:rFonts w:ascii="仿宋_GB2312" w:hAnsi="宋体" w:eastAsia="仿宋_GB2312" w:cs="仿宋_GB2312"/>
          <w:color w:val="000000"/>
          <w:kern w:val="0"/>
          <w:sz w:val="32"/>
          <w:szCs w:val="32"/>
          <w:lang w:bidi="ar"/>
        </w:rPr>
      </w:pPr>
      <w:r>
        <w:drawing>
          <wp:inline distT="0" distB="0" distL="0" distR="0">
            <wp:extent cx="4572000" cy="27432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仿宋_GB2312" w:hAnsi="宋体" w:eastAsia="仿宋_GB2312" w:cs="仿宋_GB2312"/>
          <w:color w:val="000000"/>
          <w:kern w:val="0"/>
          <w:sz w:val="32"/>
          <w:szCs w:val="32"/>
          <w:lang w:bidi="ar"/>
        </w:rPr>
      </w:pPr>
    </w:p>
    <w:p>
      <w:pPr>
        <w:widowControl/>
        <w:jc w:val="left"/>
        <w:rPr>
          <w:rFonts w:ascii="仿宋_GB2312" w:hAnsi="宋体" w:eastAsia="仿宋_GB2312" w:cs="仿宋_GB2312"/>
          <w:color w:val="000000"/>
          <w:kern w:val="0"/>
          <w:sz w:val="32"/>
          <w:szCs w:val="32"/>
          <w:lang w:bidi="ar"/>
        </w:rPr>
      </w:pP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年支出合计473.33万元，其中：基本支出319.24万元，占67.45%；项目支出154.09万元，占32.55%；经营支出</w:t>
      </w:r>
    </w:p>
    <w:p>
      <w:pPr>
        <w:widowControl/>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0万元，占0%。</w:t>
      </w:r>
    </w:p>
    <w:p>
      <w:pPr>
        <w:widowControl/>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 </w:t>
      </w:r>
      <w:r>
        <w:rPr>
          <w:rFonts w:ascii="仿宋_GB2312" w:hAnsi="宋体" w:eastAsia="仿宋_GB2312" w:cs="仿宋_GB2312"/>
          <w:color w:val="000000"/>
          <w:kern w:val="0"/>
          <w:sz w:val="32"/>
          <w:szCs w:val="32"/>
          <w:lang w:bidi="ar"/>
        </w:rPr>
        <w:t xml:space="preserve">    </w:t>
      </w:r>
      <w:r>
        <w:drawing>
          <wp:inline distT="0" distB="0" distL="0" distR="0">
            <wp:extent cx="4572000" cy="27432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jc w:val="left"/>
        <w:rPr>
          <w:rFonts w:ascii="仿宋_GB2312" w:hAnsi="宋体" w:eastAsia="仿宋_GB2312" w:cs="仿宋_GB2312"/>
          <w:color w:val="000000"/>
          <w:kern w:val="0"/>
          <w:sz w:val="32"/>
          <w:szCs w:val="32"/>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收入401.98万元，较上年406.96万元减少4.98万元，基本持平。</w:t>
      </w:r>
    </w:p>
    <w:p>
      <w:pPr>
        <w:widowControl/>
        <w:ind w:firstLine="420" w:firstLineChars="200"/>
        <w:jc w:val="left"/>
        <w:rPr>
          <w:rFonts w:ascii="仿宋_GB2312" w:hAnsi="仿宋" w:eastAsia="仿宋_GB2312"/>
          <w:sz w:val="32"/>
          <w:szCs w:val="32"/>
        </w:rPr>
      </w:pPr>
      <w:r>
        <w:drawing>
          <wp:inline distT="0" distB="0" distL="0" distR="0">
            <wp:extent cx="4572000" cy="27432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支出401.99万元，较上年406.95万元减少4.96万元，基本持平。</w:t>
      </w:r>
    </w:p>
    <w:p>
      <w:pPr>
        <w:widowControl/>
        <w:ind w:firstLine="420" w:firstLineChars="200"/>
        <w:jc w:val="left"/>
        <w:rPr>
          <w:rFonts w:ascii="仿宋_GB2312" w:hAnsi="仿宋" w:eastAsia="仿宋_GB2312"/>
          <w:sz w:val="32"/>
          <w:szCs w:val="32"/>
        </w:rPr>
      </w:pPr>
      <w:r>
        <w:drawing>
          <wp:inline distT="0" distB="0" distL="0" distR="0">
            <wp:extent cx="457200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jc w:val="left"/>
        <w:rPr>
          <w:rFonts w:ascii="仿宋_GB2312" w:hAnsi="仿宋" w:eastAsia="仿宋_GB2312"/>
          <w:sz w:val="32"/>
          <w:szCs w:val="32"/>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 xml:space="preserve">2019 年财政拨款支出401.99万元，占本年支出合 </w:t>
      </w:r>
    </w:p>
    <w:p>
      <w:pPr>
        <w:widowControl/>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计的84.93%。与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减少4.96</w:t>
      </w:r>
      <w:r>
        <w:rPr>
          <w:rFonts w:ascii="仿宋_GB2312" w:hAnsi="宋体" w:eastAsia="仿宋_GB2312" w:cs="仿宋_GB2312"/>
          <w:color w:val="000000"/>
          <w:kern w:val="0"/>
          <w:sz w:val="32"/>
          <w:szCs w:val="32"/>
          <w:lang w:bidi="ar"/>
        </w:rPr>
        <w:t>万元，基本持平。</w:t>
      </w:r>
    </w:p>
    <w:p>
      <w:pPr>
        <w:widowControl/>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 </w:t>
      </w:r>
      <w:r>
        <w:rPr>
          <w:rFonts w:ascii="仿宋_GB2312" w:hAnsi="宋体" w:eastAsia="仿宋_GB2312" w:cs="仿宋_GB2312"/>
          <w:color w:val="000000"/>
          <w:kern w:val="0"/>
          <w:sz w:val="32"/>
          <w:szCs w:val="32"/>
          <w:lang w:bidi="ar"/>
        </w:rPr>
        <w:t xml:space="preserve">     </w:t>
      </w:r>
      <w:r>
        <w:drawing>
          <wp:inline distT="0" distB="0" distL="0" distR="0">
            <wp:extent cx="4572000" cy="27432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highlight w:val="yellow"/>
          <w:lang w:bidi="ar"/>
        </w:rPr>
      </w:pPr>
      <w:r>
        <w:rPr>
          <w:rFonts w:ascii="仿宋_GB2312" w:hAnsi="宋体" w:eastAsia="仿宋_GB2312" w:cs="仿宋_GB2312"/>
          <w:color w:val="000000"/>
          <w:kern w:val="0"/>
          <w:sz w:val="32"/>
          <w:szCs w:val="32"/>
          <w:lang w:bidi="ar"/>
        </w:rPr>
        <w:t>2019 年财政拨款支出年初预算为403.21万元，支出决算为</w:t>
      </w:r>
      <w:r>
        <w:rPr>
          <w:rFonts w:hint="eastAsia" w:ascii="仿宋_GB2312" w:hAnsi="宋体" w:eastAsia="仿宋_GB2312" w:cs="仿宋_GB2312"/>
          <w:color w:val="000000"/>
          <w:kern w:val="0"/>
          <w:sz w:val="32"/>
          <w:szCs w:val="32"/>
          <w:lang w:bidi="ar"/>
        </w:rPr>
        <w:t>401.99</w:t>
      </w:r>
      <w:r>
        <w:rPr>
          <w:rFonts w:ascii="仿宋_GB2312" w:hAnsi="宋体" w:eastAsia="仿宋_GB2312" w:cs="仿宋_GB2312"/>
          <w:color w:val="000000"/>
          <w:kern w:val="0"/>
          <w:sz w:val="32"/>
          <w:szCs w:val="32"/>
          <w:lang w:bidi="ar"/>
        </w:rPr>
        <w:t>万元，完成年初预算的99.7%。</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rPr>
        <w:t xml:space="preserve"> </w:t>
      </w:r>
      <w:r>
        <w:rPr>
          <w:rFonts w:hint="eastAsia" w:ascii="仿宋_GB2312" w:hAnsi="宋体" w:eastAsia="仿宋_GB2312" w:cs="仿宋_GB2312"/>
          <w:b/>
          <w:color w:val="000000"/>
          <w:kern w:val="0"/>
          <w:sz w:val="32"/>
          <w:szCs w:val="32"/>
          <w:lang w:bidi="ar"/>
        </w:rPr>
        <w:t>公共安全支出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司法</w:t>
      </w:r>
      <w:r>
        <w:rPr>
          <w:rFonts w:ascii="仿宋_GB2312" w:hAnsi="宋体" w:eastAsia="仿宋_GB2312" w:cs="仿宋_GB2312"/>
          <w:b/>
          <w:color w:val="000000"/>
          <w:kern w:val="0"/>
          <w:sz w:val="32"/>
          <w:szCs w:val="32"/>
          <w:lang w:bidi="ar"/>
        </w:rPr>
        <w:t xml:space="preserve">（款）行政运行（项）。 </w:t>
      </w:r>
    </w:p>
    <w:p>
      <w:pPr>
        <w:widowControl/>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 </w:t>
      </w:r>
      <w:r>
        <w:rPr>
          <w:rFonts w:ascii="仿宋_GB2312" w:hAnsi="宋体" w:eastAsia="仿宋_GB2312" w:cs="仿宋_GB2312"/>
          <w:color w:val="000000"/>
          <w:kern w:val="0"/>
          <w:sz w:val="32"/>
          <w:szCs w:val="32"/>
          <w:lang w:bidi="ar"/>
        </w:rPr>
        <w:t xml:space="preserve">  年初预算为</w:t>
      </w:r>
      <w:r>
        <w:rPr>
          <w:rFonts w:hint="eastAsia" w:ascii="仿宋_GB2312" w:hAnsi="宋体" w:eastAsia="仿宋_GB2312" w:cs="仿宋_GB2312"/>
          <w:color w:val="000000"/>
          <w:kern w:val="0"/>
          <w:sz w:val="32"/>
          <w:szCs w:val="32"/>
          <w:lang w:bidi="ar"/>
        </w:rPr>
        <w:t>155.51</w:t>
      </w:r>
      <w:r>
        <w:rPr>
          <w:rFonts w:ascii="仿宋_GB2312" w:hAnsi="宋体" w:eastAsia="仿宋_GB2312" w:cs="仿宋_GB2312"/>
          <w:color w:val="000000"/>
          <w:kern w:val="0"/>
          <w:sz w:val="32"/>
          <w:szCs w:val="32"/>
          <w:lang w:bidi="ar"/>
        </w:rPr>
        <w:t>万元，支出决算为155.51万元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完成年初预算的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widowControl/>
        <w:ind w:firstLine="643" w:firstLineChars="200"/>
        <w:jc w:val="left"/>
        <w:rPr>
          <w:rFonts w:ascii="仿宋_GB2312" w:hAnsi="宋体" w:eastAsia="仿宋_GB2312" w:cs="仿宋_GB2312"/>
          <w:b/>
          <w:color w:val="000000"/>
          <w:kern w:val="0"/>
          <w:sz w:val="32"/>
          <w:szCs w:val="32"/>
          <w:lang w:bidi="ar"/>
        </w:rPr>
      </w:pPr>
      <w:r>
        <w:rPr>
          <w:rFonts w:ascii="仿宋_GB2312" w:hAnsi="宋体" w:eastAsia="仿宋_GB2312" w:cs="仿宋_GB2312"/>
          <w:b/>
          <w:color w:val="000000"/>
          <w:kern w:val="0"/>
          <w:sz w:val="32"/>
          <w:szCs w:val="32"/>
          <w:lang w:bidi="ar"/>
        </w:rPr>
        <w:t>2.</w:t>
      </w:r>
      <w:r>
        <w:rPr>
          <w:rFonts w:hint="eastAsia"/>
        </w:rPr>
        <w:t xml:space="preserve"> </w:t>
      </w:r>
      <w:r>
        <w:rPr>
          <w:rFonts w:hint="eastAsia" w:ascii="仿宋_GB2312" w:hAnsi="宋体" w:eastAsia="仿宋_GB2312" w:cs="仿宋_GB2312"/>
          <w:b/>
          <w:color w:val="000000"/>
          <w:kern w:val="0"/>
          <w:sz w:val="32"/>
          <w:szCs w:val="32"/>
          <w:lang w:bidi="ar"/>
        </w:rPr>
        <w:t>公共安全支出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司法</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基层司法业务</w:t>
      </w:r>
      <w:r>
        <w:rPr>
          <w:rFonts w:ascii="仿宋_GB2312" w:hAnsi="宋体" w:eastAsia="仿宋_GB2312" w:cs="仿宋_GB2312"/>
          <w:b/>
          <w:color w:val="000000"/>
          <w:kern w:val="0"/>
          <w:sz w:val="32"/>
          <w:szCs w:val="32"/>
          <w:lang w:bidi="ar"/>
        </w:rPr>
        <w:t>（项）。</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bidi="ar"/>
        </w:rPr>
        <w:t>16.57</w:t>
      </w:r>
      <w:r>
        <w:rPr>
          <w:rFonts w:ascii="仿宋_GB2312" w:hAnsi="宋体" w:eastAsia="仿宋_GB2312" w:cs="仿宋_GB2312"/>
          <w:color w:val="000000"/>
          <w:kern w:val="0"/>
          <w:sz w:val="32"/>
          <w:szCs w:val="32"/>
          <w:lang w:bidi="ar"/>
        </w:rPr>
        <w:t>万元，支出决算为16.57万元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完成年初预算的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widowControl/>
        <w:ind w:firstLine="643" w:firstLineChars="200"/>
        <w:jc w:val="left"/>
        <w:rPr>
          <w:rFonts w:ascii="仿宋_GB2312" w:hAnsi="宋体" w:eastAsia="仿宋_GB2312" w:cs="仿宋_GB2312"/>
          <w:b/>
          <w:color w:val="000000"/>
          <w:kern w:val="0"/>
          <w:sz w:val="32"/>
          <w:szCs w:val="32"/>
          <w:lang w:bidi="ar"/>
        </w:rPr>
      </w:pPr>
    </w:p>
    <w:p>
      <w:pPr>
        <w:widowControl/>
        <w:ind w:firstLine="643" w:firstLineChars="200"/>
        <w:jc w:val="left"/>
        <w:rPr>
          <w:rFonts w:ascii="仿宋_GB2312" w:hAnsi="宋体" w:eastAsia="仿宋_GB2312" w:cs="仿宋_GB2312"/>
          <w:b/>
          <w:color w:val="000000"/>
          <w:kern w:val="0"/>
          <w:sz w:val="32"/>
          <w:szCs w:val="32"/>
          <w:lang w:bidi="ar"/>
        </w:rPr>
      </w:pPr>
      <w:r>
        <w:rPr>
          <w:rFonts w:ascii="仿宋_GB2312" w:hAnsi="宋体" w:eastAsia="仿宋_GB2312" w:cs="仿宋_GB2312"/>
          <w:b/>
          <w:color w:val="000000"/>
          <w:kern w:val="0"/>
          <w:sz w:val="32"/>
          <w:szCs w:val="32"/>
          <w:lang w:bidi="ar"/>
        </w:rPr>
        <w:t>2.</w:t>
      </w:r>
      <w:r>
        <w:rPr>
          <w:rFonts w:hint="eastAsia"/>
        </w:rPr>
        <w:t xml:space="preserve"> </w:t>
      </w:r>
      <w:r>
        <w:rPr>
          <w:rFonts w:hint="eastAsia" w:ascii="仿宋_GB2312" w:hAnsi="宋体" w:eastAsia="仿宋_GB2312" w:cs="仿宋_GB2312"/>
          <w:b/>
          <w:color w:val="000000"/>
          <w:kern w:val="0"/>
          <w:sz w:val="32"/>
          <w:szCs w:val="32"/>
          <w:lang w:bidi="ar"/>
        </w:rPr>
        <w:t>公共安全支出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司法</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普法宣传</w:t>
      </w:r>
      <w:r>
        <w:rPr>
          <w:rFonts w:ascii="仿宋_GB2312" w:hAnsi="宋体" w:eastAsia="仿宋_GB2312" w:cs="仿宋_GB2312"/>
          <w:b/>
          <w:color w:val="000000"/>
          <w:kern w:val="0"/>
          <w:sz w:val="32"/>
          <w:szCs w:val="32"/>
          <w:lang w:bidi="ar"/>
        </w:rPr>
        <w:t>（项）。</w:t>
      </w:r>
    </w:p>
    <w:p>
      <w:pPr>
        <w:widowControl/>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 </w:t>
      </w:r>
      <w:r>
        <w:rPr>
          <w:rFonts w:ascii="仿宋_GB2312" w:hAnsi="宋体" w:eastAsia="仿宋_GB2312" w:cs="仿宋_GB2312"/>
          <w:color w:val="000000"/>
          <w:kern w:val="0"/>
          <w:sz w:val="32"/>
          <w:szCs w:val="32"/>
          <w:lang w:bidi="ar"/>
        </w:rPr>
        <w:t xml:space="preserve">    年初预算为5万元，支出决算为5万元，完成年初预算的100%。决算数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widowControl/>
        <w:ind w:firstLine="643" w:firstLineChars="200"/>
        <w:jc w:val="left"/>
        <w:rPr>
          <w:rFonts w:ascii="仿宋_GB2312" w:hAnsi="宋体" w:eastAsia="仿宋_GB2312" w:cs="仿宋_GB2312"/>
          <w:b/>
          <w:color w:val="000000"/>
          <w:kern w:val="0"/>
          <w:sz w:val="32"/>
          <w:szCs w:val="32"/>
          <w:lang w:bidi="ar"/>
        </w:rPr>
      </w:pPr>
      <w:r>
        <w:rPr>
          <w:rFonts w:ascii="仿宋_GB2312" w:hAnsi="宋体" w:eastAsia="仿宋_GB2312" w:cs="仿宋_GB2312"/>
          <w:b/>
          <w:color w:val="000000"/>
          <w:kern w:val="0"/>
          <w:sz w:val="32"/>
          <w:szCs w:val="32"/>
          <w:lang w:bidi="ar"/>
        </w:rPr>
        <w:t>2.</w:t>
      </w:r>
      <w:r>
        <w:rPr>
          <w:rFonts w:hint="eastAsia"/>
        </w:rPr>
        <w:t xml:space="preserve"> </w:t>
      </w:r>
      <w:r>
        <w:rPr>
          <w:rFonts w:hint="eastAsia" w:ascii="仿宋_GB2312" w:hAnsi="宋体" w:eastAsia="仿宋_GB2312" w:cs="仿宋_GB2312"/>
          <w:b/>
          <w:color w:val="000000"/>
          <w:kern w:val="0"/>
          <w:sz w:val="32"/>
          <w:szCs w:val="32"/>
          <w:lang w:bidi="ar"/>
        </w:rPr>
        <w:t>公共安全支出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司法</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法律援助</w:t>
      </w:r>
      <w:r>
        <w:rPr>
          <w:rFonts w:ascii="仿宋_GB2312" w:hAnsi="宋体" w:eastAsia="仿宋_GB2312" w:cs="仿宋_GB2312"/>
          <w:b/>
          <w:color w:val="000000"/>
          <w:kern w:val="0"/>
          <w:sz w:val="32"/>
          <w:szCs w:val="32"/>
          <w:lang w:bidi="ar"/>
        </w:rPr>
        <w:t>（项）。</w:t>
      </w:r>
    </w:p>
    <w:p>
      <w:pPr>
        <w:widowControl/>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b/>
          <w:color w:val="000000"/>
          <w:kern w:val="0"/>
          <w:sz w:val="32"/>
          <w:szCs w:val="32"/>
          <w:lang w:bidi="ar"/>
        </w:rPr>
        <w:t xml:space="preserve"> </w:t>
      </w:r>
      <w:r>
        <w:rPr>
          <w:rFonts w:ascii="仿宋_GB2312" w:hAnsi="宋体" w:eastAsia="仿宋_GB2312" w:cs="仿宋_GB2312"/>
          <w:color w:val="000000"/>
          <w:kern w:val="0"/>
          <w:sz w:val="32"/>
          <w:szCs w:val="32"/>
          <w:lang w:bidi="ar"/>
        </w:rPr>
        <w:t xml:space="preserve">   年初预算为</w:t>
      </w:r>
      <w:r>
        <w:rPr>
          <w:rFonts w:hint="eastAsia" w:ascii="仿宋_GB2312" w:hAnsi="宋体" w:eastAsia="仿宋_GB2312" w:cs="仿宋_GB2312"/>
          <w:color w:val="000000"/>
          <w:kern w:val="0"/>
          <w:sz w:val="32"/>
          <w:szCs w:val="32"/>
          <w:lang w:bidi="ar"/>
        </w:rPr>
        <w:t>4.21</w:t>
      </w:r>
      <w:r>
        <w:rPr>
          <w:rFonts w:ascii="仿宋_GB2312" w:hAnsi="宋体" w:eastAsia="仿宋_GB2312" w:cs="仿宋_GB2312"/>
          <w:color w:val="000000"/>
          <w:kern w:val="0"/>
          <w:sz w:val="32"/>
          <w:szCs w:val="32"/>
          <w:lang w:bidi="ar"/>
        </w:rPr>
        <w:t>万元，支出决算为4.21万元，完成年初预算的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基本持平。</w:t>
      </w:r>
    </w:p>
    <w:p>
      <w:pPr>
        <w:widowControl/>
        <w:ind w:firstLine="643" w:firstLineChars="200"/>
        <w:jc w:val="left"/>
        <w:rPr>
          <w:rFonts w:ascii="仿宋_GB2312" w:hAnsi="宋体" w:eastAsia="仿宋_GB2312" w:cs="仿宋_GB2312"/>
          <w:b/>
          <w:color w:val="000000"/>
          <w:kern w:val="0"/>
          <w:sz w:val="32"/>
          <w:szCs w:val="32"/>
          <w:lang w:bidi="ar"/>
        </w:rPr>
      </w:pPr>
      <w:r>
        <w:rPr>
          <w:rFonts w:ascii="仿宋_GB2312" w:hAnsi="宋体" w:eastAsia="仿宋_GB2312" w:cs="仿宋_GB2312"/>
          <w:b/>
          <w:color w:val="000000"/>
          <w:kern w:val="0"/>
          <w:sz w:val="32"/>
          <w:szCs w:val="32"/>
          <w:lang w:bidi="ar"/>
        </w:rPr>
        <w:t>2.</w:t>
      </w:r>
      <w:r>
        <w:rPr>
          <w:rFonts w:hint="eastAsia"/>
        </w:rPr>
        <w:t xml:space="preserve"> </w:t>
      </w:r>
      <w:r>
        <w:rPr>
          <w:rFonts w:hint="eastAsia" w:ascii="仿宋_GB2312" w:hAnsi="宋体" w:eastAsia="仿宋_GB2312" w:cs="仿宋_GB2312"/>
          <w:b/>
          <w:color w:val="000000"/>
          <w:kern w:val="0"/>
          <w:sz w:val="32"/>
          <w:szCs w:val="32"/>
          <w:lang w:bidi="ar"/>
        </w:rPr>
        <w:t>公共安全支出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司法</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社区矫正</w:t>
      </w:r>
      <w:r>
        <w:rPr>
          <w:rFonts w:ascii="仿宋_GB2312" w:hAnsi="宋体" w:eastAsia="仿宋_GB2312" w:cs="仿宋_GB2312"/>
          <w:b/>
          <w:color w:val="000000"/>
          <w:kern w:val="0"/>
          <w:sz w:val="32"/>
          <w:szCs w:val="32"/>
          <w:lang w:bidi="ar"/>
        </w:rPr>
        <w:t xml:space="preserve">（项）。 </w:t>
      </w:r>
    </w:p>
    <w:p>
      <w:pPr>
        <w:widowControl/>
        <w:ind w:firstLine="645"/>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bidi="ar"/>
        </w:rPr>
        <w:t>3</w:t>
      </w:r>
      <w:r>
        <w:rPr>
          <w:rFonts w:ascii="仿宋_GB2312" w:hAnsi="宋体" w:eastAsia="仿宋_GB2312" w:cs="仿宋_GB2312"/>
          <w:color w:val="000000"/>
          <w:kern w:val="0"/>
          <w:sz w:val="32"/>
          <w:szCs w:val="32"/>
          <w:lang w:bidi="ar"/>
        </w:rPr>
        <w:t>万元，支出决算为2.81万元，完成年初预算的</w:t>
      </w:r>
      <w:r>
        <w:rPr>
          <w:rFonts w:hint="eastAsia" w:ascii="仿宋_GB2312" w:hAnsi="宋体" w:eastAsia="仿宋_GB2312" w:cs="仿宋_GB2312"/>
          <w:color w:val="000000"/>
          <w:kern w:val="0"/>
          <w:sz w:val="32"/>
          <w:szCs w:val="32"/>
          <w:lang w:bidi="ar"/>
        </w:rPr>
        <w:t>93.67</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基本持平。</w:t>
      </w:r>
    </w:p>
    <w:p>
      <w:pPr>
        <w:widowControl/>
        <w:ind w:firstLine="643" w:firstLineChars="200"/>
        <w:jc w:val="left"/>
        <w:rPr>
          <w:rFonts w:ascii="仿宋_GB2312" w:hAnsi="宋体" w:eastAsia="仿宋_GB2312" w:cs="仿宋_GB2312"/>
          <w:b/>
          <w:color w:val="000000"/>
          <w:kern w:val="0"/>
          <w:sz w:val="32"/>
          <w:szCs w:val="32"/>
          <w:lang w:bidi="ar"/>
        </w:rPr>
      </w:pPr>
      <w:r>
        <w:rPr>
          <w:rFonts w:ascii="仿宋_GB2312" w:hAnsi="宋体" w:eastAsia="仿宋_GB2312" w:cs="仿宋_GB2312"/>
          <w:b/>
          <w:color w:val="000000"/>
          <w:kern w:val="0"/>
          <w:sz w:val="32"/>
          <w:szCs w:val="32"/>
          <w:lang w:bidi="ar"/>
        </w:rPr>
        <w:t>2.</w:t>
      </w:r>
      <w:r>
        <w:rPr>
          <w:rFonts w:hint="eastAsia"/>
        </w:rPr>
        <w:t xml:space="preserve"> </w:t>
      </w:r>
      <w:r>
        <w:rPr>
          <w:rFonts w:hint="eastAsia" w:ascii="仿宋_GB2312" w:hAnsi="宋体" w:eastAsia="仿宋_GB2312" w:cs="仿宋_GB2312"/>
          <w:b/>
          <w:color w:val="000000"/>
          <w:kern w:val="0"/>
          <w:sz w:val="32"/>
          <w:szCs w:val="32"/>
          <w:lang w:bidi="ar"/>
        </w:rPr>
        <w:t>公共安全支出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司法</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事业运行</w:t>
      </w:r>
      <w:r>
        <w:rPr>
          <w:rFonts w:ascii="仿宋_GB2312" w:hAnsi="宋体" w:eastAsia="仿宋_GB2312" w:cs="仿宋_GB2312"/>
          <w:b/>
          <w:color w:val="000000"/>
          <w:kern w:val="0"/>
          <w:sz w:val="32"/>
          <w:szCs w:val="32"/>
          <w:lang w:bidi="ar"/>
        </w:rPr>
        <w:t>（项）。</w:t>
      </w:r>
    </w:p>
    <w:p>
      <w:pPr>
        <w:widowControl/>
        <w:ind w:firstLine="645"/>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年初预算为158万元，支出决算为15</w:t>
      </w:r>
      <w:r>
        <w:rPr>
          <w:rFonts w:hint="eastAsia" w:ascii="仿宋_GB2312" w:hAnsi="宋体" w:eastAsia="仿宋_GB2312" w:cs="仿宋_GB2312"/>
          <w:color w:val="000000"/>
          <w:kern w:val="0"/>
          <w:sz w:val="32"/>
          <w:szCs w:val="32"/>
          <w:lang w:bidi="ar"/>
        </w:rPr>
        <w:t>7</w:t>
      </w:r>
      <w:r>
        <w:rPr>
          <w:rFonts w:ascii="仿宋_GB2312" w:hAnsi="宋体" w:eastAsia="仿宋_GB2312" w:cs="仿宋_GB2312"/>
          <w:color w:val="000000"/>
          <w:kern w:val="0"/>
          <w:sz w:val="32"/>
          <w:szCs w:val="32"/>
          <w:lang w:bidi="ar"/>
        </w:rPr>
        <w:t>.28万元，完成年初预算的100%。决算数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ascii="仿宋_GB2312" w:hAnsi="宋体" w:eastAsia="仿宋_GB2312" w:cs="仿宋_GB2312"/>
          <w:b/>
          <w:color w:val="000000"/>
          <w:kern w:val="0"/>
          <w:sz w:val="32"/>
          <w:szCs w:val="32"/>
          <w:lang w:bidi="ar"/>
        </w:rPr>
        <w:t xml:space="preserve"> </w:t>
      </w:r>
    </w:p>
    <w:p>
      <w:pPr>
        <w:widowControl/>
        <w:ind w:firstLine="643" w:firstLineChars="200"/>
        <w:jc w:val="left"/>
      </w:pPr>
      <w:r>
        <w:rPr>
          <w:rFonts w:ascii="仿宋_GB2312" w:hAnsi="宋体" w:eastAsia="仿宋_GB2312" w:cs="仿宋_GB2312"/>
          <w:b/>
          <w:color w:val="000000"/>
          <w:kern w:val="0"/>
          <w:sz w:val="32"/>
          <w:szCs w:val="32"/>
          <w:lang w:bidi="ar"/>
        </w:rPr>
        <w:t>2.</w:t>
      </w:r>
      <w:r>
        <w:rPr>
          <w:rFonts w:hint="eastAsia"/>
        </w:rPr>
        <w:t xml:space="preserve"> </w:t>
      </w:r>
      <w:r>
        <w:rPr>
          <w:rFonts w:hint="eastAsia" w:ascii="仿宋_GB2312" w:hAnsi="宋体" w:eastAsia="仿宋_GB2312" w:cs="仿宋_GB2312"/>
          <w:b/>
          <w:color w:val="000000"/>
          <w:kern w:val="0"/>
          <w:sz w:val="32"/>
          <w:szCs w:val="32"/>
          <w:lang w:bidi="ar"/>
        </w:rPr>
        <w:t>公共安全支出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司法</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其他司法支出</w:t>
      </w:r>
      <w:r>
        <w:rPr>
          <w:rFonts w:ascii="仿宋_GB2312" w:hAnsi="宋体" w:eastAsia="仿宋_GB2312" w:cs="仿宋_GB2312"/>
          <w:b/>
          <w:color w:val="000000"/>
          <w:kern w:val="0"/>
          <w:sz w:val="32"/>
          <w:szCs w:val="32"/>
          <w:lang w:bidi="ar"/>
        </w:rPr>
        <w:t xml:space="preserve">（项）。 </w:t>
      </w:r>
    </w:p>
    <w:p>
      <w:pPr>
        <w:widowControl/>
        <w:jc w:val="left"/>
        <w:rPr>
          <w:rFonts w:ascii="仿宋_GB2312" w:hAnsi="宋体" w:eastAsia="仿宋_GB2312" w:cs="仿宋_GB2312"/>
          <w:color w:val="000000"/>
          <w:kern w:val="0"/>
          <w:sz w:val="32"/>
          <w:szCs w:val="32"/>
          <w:lang w:bidi="ar"/>
        </w:rPr>
      </w:pPr>
      <w:r>
        <w:rPr>
          <w:rFonts w:ascii="仿宋_GB2312" w:hAnsi="宋体" w:eastAsia="仿宋_GB2312" w:cs="仿宋_GB2312"/>
          <w:b/>
          <w:color w:val="000000"/>
          <w:kern w:val="0"/>
          <w:sz w:val="32"/>
          <w:szCs w:val="32"/>
          <w:lang w:bidi="ar"/>
        </w:rPr>
        <w:t xml:space="preserve"> </w:t>
      </w:r>
      <w:r>
        <w:rPr>
          <w:rFonts w:ascii="仿宋_GB2312" w:hAnsi="宋体" w:eastAsia="仿宋_GB2312" w:cs="仿宋_GB2312"/>
          <w:color w:val="000000"/>
          <w:kern w:val="0"/>
          <w:sz w:val="32"/>
          <w:szCs w:val="32"/>
          <w:lang w:bidi="ar"/>
        </w:rPr>
        <w:t xml:space="preserve">    年初预算为</w:t>
      </w:r>
      <w:r>
        <w:rPr>
          <w:rFonts w:hint="eastAsia" w:ascii="仿宋_GB2312" w:hAnsi="宋体" w:eastAsia="仿宋_GB2312" w:cs="仿宋_GB2312"/>
          <w:color w:val="000000"/>
          <w:kern w:val="0"/>
          <w:sz w:val="32"/>
          <w:szCs w:val="32"/>
          <w:lang w:bidi="ar"/>
        </w:rPr>
        <w:t>60.92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60.61</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bidi="ar"/>
        </w:rPr>
        <w:t>99.5</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基本持平。</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bidi="ar"/>
        </w:rPr>
        <w:t>319.24</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bidi="ar"/>
        </w:rPr>
        <w:t>299.87</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bidi="ar"/>
        </w:rPr>
        <w:t>19.37</w:t>
      </w:r>
      <w:r>
        <w:rPr>
          <w:rFonts w:ascii="仿宋_GB2312" w:hAnsi="仿宋_GB2312" w:eastAsia="仿宋_GB2312" w:cs="仿宋_GB2312"/>
          <w:color w:val="000000"/>
          <w:kern w:val="0"/>
          <w:sz w:val="31"/>
          <w:szCs w:val="31"/>
          <w:lang w:bidi="ar"/>
        </w:rPr>
        <w:t>万元。</w:t>
      </w:r>
    </w:p>
    <w:p>
      <w:pPr>
        <w:ind w:firstLine="643" w:firstLineChars="200"/>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bidi="ar"/>
        </w:rPr>
        <w:t>299.87</w:t>
      </w:r>
      <w:r>
        <w:rPr>
          <w:rFonts w:ascii="仿宋_GB2312" w:hAnsi="宋体" w:eastAsia="仿宋_GB2312" w:cs="仿宋_GB2312"/>
          <w:color w:val="000000"/>
          <w:kern w:val="0"/>
          <w:sz w:val="32"/>
          <w:szCs w:val="32"/>
          <w:lang w:bidi="ar"/>
        </w:rPr>
        <w:t>万元，主要包括基本工资</w:t>
      </w:r>
      <w:r>
        <w:rPr>
          <w:rFonts w:hint="eastAsia" w:ascii="仿宋_GB2312" w:hAnsi="宋体" w:eastAsia="仿宋_GB2312" w:cs="仿宋_GB2312"/>
          <w:color w:val="000000"/>
          <w:kern w:val="0"/>
          <w:sz w:val="32"/>
          <w:szCs w:val="32"/>
          <w:lang w:bidi="ar"/>
        </w:rPr>
        <w:t>92.89万元、津贴补贴55.54万元、奖金43.38万元、 伙食补助费6.45万元、 绩效工资42.99万元、机关事业单位基本养老保险缴费27.63万元、住房公积金30.15万元、其他工资福利支出0.18万元、生活补助0.63万元、奖励金0.04万元。</w:t>
      </w:r>
    </w:p>
    <w:p>
      <w:pPr>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bidi="ar"/>
        </w:rPr>
        <w:t>19.37</w:t>
      </w:r>
      <w:r>
        <w:rPr>
          <w:rFonts w:ascii="仿宋_GB2312" w:hAnsi="宋体" w:eastAsia="仿宋_GB2312" w:cs="仿宋_GB2312"/>
          <w:color w:val="000000"/>
          <w:kern w:val="0"/>
          <w:sz w:val="32"/>
          <w:szCs w:val="32"/>
          <w:lang w:bidi="ar"/>
        </w:rPr>
        <w:t>万元，主要包括办公费</w:t>
      </w:r>
      <w:r>
        <w:rPr>
          <w:rFonts w:hint="eastAsia" w:ascii="仿宋_GB2312" w:hAnsi="宋体" w:eastAsia="仿宋_GB2312" w:cs="仿宋_GB2312"/>
          <w:color w:val="000000"/>
          <w:kern w:val="0"/>
          <w:sz w:val="32"/>
          <w:szCs w:val="32"/>
          <w:lang w:bidi="ar"/>
        </w:rPr>
        <w:t>0.68万元、手续费0.01万元、水费1.79万元、电费0.2万元、邮电费2.19万元 、取暖费1.4万元、差旅费0.17万元、公务接待费5.98万元、工会经费0.46万元、其他交通费4.59万元、其他商品和服务支出 1.06万元、办公设备购置0.84万元。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bidi="ar"/>
        </w:rPr>
        <w:t>18.35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18.29</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99.67</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基本持平。</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费支出0万元，占0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bidi="ar"/>
        </w:rPr>
        <w:t>12.31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67.3</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bidi="ar"/>
        </w:rPr>
        <w:t>5.98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32.7</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0%。</w:t>
      </w:r>
      <w:r>
        <w:t xml:space="preserve"> </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12.35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12.31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99.7%，决算数较预算数基本持平。</w:t>
      </w:r>
      <w:r>
        <w:rPr>
          <w:rFonts w:ascii="仿宋_GB2312" w:hAnsi="宋体" w:eastAsia="仿宋_GB2312" w:cs="仿宋_GB2312"/>
          <w:color w:val="000000"/>
          <w:kern w:val="0"/>
          <w:sz w:val="32"/>
          <w:szCs w:val="32"/>
          <w:lang w:bidi="ar"/>
        </w:rPr>
        <w:t xml:space="preserve"> </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90批次，750人次，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5.98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99.7%，决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基本持平。</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个，共涉及资金</w:t>
      </w:r>
      <w:r>
        <w:rPr>
          <w:rFonts w:hint="eastAsia" w:ascii="仿宋_GB2312" w:hAnsi="仿宋_GB2312" w:eastAsia="仿宋_GB2312" w:cs="仿宋_GB2312"/>
          <w:b/>
          <w:bCs/>
          <w:sz w:val="32"/>
          <w:szCs w:val="32"/>
          <w:lang w:val="en-US" w:eastAsia="zh-CN"/>
        </w:rPr>
        <w:t>33.59</w:t>
      </w:r>
      <w:r>
        <w:rPr>
          <w:rFonts w:hint="eastAsia" w:ascii="仿宋_GB2312" w:hAnsi="仿宋_GB2312" w:eastAsia="仿宋_GB2312" w:cs="仿宋_GB2312"/>
          <w:sz w:val="32"/>
          <w:szCs w:val="32"/>
          <w:lang w:val="en-US" w:eastAsia="zh-CN"/>
        </w:rPr>
        <w:t>万元</w:t>
      </w:r>
      <w:r>
        <w:rPr>
          <w:rFonts w:ascii="仿宋_GB2312" w:hAnsi="仿宋_GB2312" w:eastAsia="仿宋_GB2312" w:cs="仿宋_GB2312"/>
          <w:sz w:val="32"/>
          <w:szCs w:val="32"/>
        </w:rPr>
        <w:t>，占一般公共预算项目支出总额的</w:t>
      </w:r>
      <w:r>
        <w:rPr>
          <w:rFonts w:hint="eastAsia" w:ascii="仿宋_GB2312" w:hAnsi="仿宋_GB2312" w:eastAsia="仿宋_GB2312" w:cs="仿宋_GB2312"/>
          <w:b/>
          <w:bCs/>
          <w:sz w:val="32"/>
          <w:szCs w:val="32"/>
          <w:lang w:val="en-US" w:eastAsia="zh-CN"/>
        </w:rPr>
        <w:t>40.59%</w:t>
      </w:r>
      <w:r>
        <w:rPr>
          <w:rFonts w:hint="eastAsia" w:ascii="仿宋_GB2312" w:hAnsi="仿宋_GB2312" w:eastAsia="仿宋_GB2312" w:cs="仿宋_GB2312"/>
          <w:sz w:val="32"/>
          <w:szCs w:val="32"/>
          <w:lang w:val="en-US" w:eastAsia="zh-CN"/>
        </w:rPr>
        <w:t>。</w:t>
      </w:r>
      <w:r>
        <w:rPr>
          <w:rFonts w:ascii="仿宋_GB2312" w:hAnsi="仿宋_GB2312" w:eastAsia="仿宋_GB2312" w:cs="仿宋_GB2312"/>
          <w:color w:val="000000"/>
          <w:kern w:val="0"/>
          <w:sz w:val="31"/>
          <w:szCs w:val="31"/>
        </w:rPr>
        <w:t>对 2019年</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w:t>
      </w:r>
    </w:p>
    <w:p>
      <w:pPr>
        <w:widowControl/>
        <w:ind w:firstLine="643" w:firstLineChars="200"/>
        <w:jc w:val="left"/>
        <w:rPr>
          <w:rFonts w:ascii="仿宋_GB2312" w:hAnsi="仿宋_GB2312" w:eastAsia="仿宋_GB2312" w:cs="仿宋_GB2312"/>
          <w:color w:val="000000"/>
          <w:kern w:val="0"/>
          <w:sz w:val="31"/>
          <w:szCs w:val="31"/>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bookmarkStart w:id="0" w:name="_GoBack"/>
      <w:bookmarkEnd w:id="0"/>
    </w:p>
    <w:p>
      <w:pPr>
        <w:pStyle w:val="19"/>
        <w:tabs>
          <w:tab w:val="left" w:pos="1813"/>
        </w:tabs>
        <w:spacing w:line="560" w:lineRule="exact"/>
        <w:ind w:firstLine="640" w:firstLineChars="200"/>
        <w:jc w:val="both"/>
        <w:outlineLvl w:val="9"/>
        <w:rPr>
          <w:rFonts w:hint="eastAsia" w:ascii="仿宋_GB2312" w:hAnsi="仿宋_GB2312" w:eastAsia="仿宋_GB2312" w:cs="仿宋_GB2312"/>
          <w:b w:val="0"/>
          <w:bCs w:val="0"/>
          <w:color w:val="auto"/>
          <w:sz w:val="32"/>
          <w:szCs w:val="32"/>
          <w:lang w:eastAsia="zh-CN"/>
        </w:rPr>
      </w:pPr>
      <w:r>
        <w:rPr>
          <w:rFonts w:ascii="仿宋_GB2312" w:hAnsi="仿宋_GB2312" w:eastAsia="仿宋_GB2312" w:cs="仿宋_GB2312"/>
          <w:b w:val="0"/>
          <w:bCs w:val="0"/>
          <w:kern w:val="2"/>
          <w:sz w:val="32"/>
          <w:szCs w:val="32"/>
          <w:u w:val="none"/>
          <w:shd w:val="clear"/>
          <w:lang w:val="en-US" w:eastAsia="zh-CN" w:bidi="ar-SA"/>
        </w:rPr>
        <w:t>根据年初设定的绩效目标，项目自评得分</w:t>
      </w:r>
      <w:r>
        <w:rPr>
          <w:rFonts w:hint="eastAsia" w:ascii="仿宋_GB2312" w:hAnsi="仿宋_GB2312" w:eastAsia="仿宋_GB2312" w:cs="仿宋_GB2312"/>
          <w:b w:val="0"/>
          <w:bCs w:val="0"/>
          <w:kern w:val="2"/>
          <w:sz w:val="32"/>
          <w:szCs w:val="32"/>
          <w:u w:val="none"/>
          <w:shd w:val="clear"/>
          <w:lang w:val="en-US" w:eastAsia="zh-CN" w:bidi="ar-SA"/>
        </w:rPr>
        <w:t>90.5</w:t>
      </w:r>
      <w:r>
        <w:rPr>
          <w:rFonts w:ascii="仿宋_GB2312" w:hAnsi="仿宋_GB2312" w:eastAsia="仿宋_GB2312" w:cs="仿宋_GB2312"/>
          <w:b w:val="0"/>
          <w:bCs w:val="0"/>
          <w:kern w:val="2"/>
          <w:sz w:val="32"/>
          <w:szCs w:val="32"/>
          <w:u w:val="none"/>
          <w:shd w:val="clear"/>
          <w:lang w:val="en-US" w:eastAsia="zh-CN" w:bidi="ar-SA"/>
        </w:rPr>
        <w:t>分。项目全年预算数</w:t>
      </w:r>
      <w:r>
        <w:rPr>
          <w:rFonts w:hint="eastAsia" w:ascii="仿宋_GB2312" w:hAnsi="仿宋_GB2312" w:eastAsia="仿宋_GB2312" w:cs="仿宋_GB2312"/>
          <w:b w:val="0"/>
          <w:bCs w:val="0"/>
          <w:kern w:val="2"/>
          <w:sz w:val="32"/>
          <w:szCs w:val="32"/>
          <w:u w:val="none"/>
          <w:shd w:val="clear"/>
          <w:lang w:val="en-US" w:eastAsia="zh-CN" w:bidi="ar-SA"/>
        </w:rPr>
        <w:t>33.78</w:t>
      </w:r>
      <w:r>
        <w:rPr>
          <w:rFonts w:ascii="仿宋_GB2312" w:hAnsi="仿宋_GB2312" w:eastAsia="仿宋_GB2312" w:cs="仿宋_GB2312"/>
          <w:b w:val="0"/>
          <w:bCs w:val="0"/>
          <w:kern w:val="2"/>
          <w:sz w:val="32"/>
          <w:szCs w:val="32"/>
          <w:u w:val="none"/>
          <w:shd w:val="clear"/>
          <w:lang w:val="en-US" w:eastAsia="zh-CN" w:bidi="ar-SA"/>
        </w:rPr>
        <w:t>万元，执行数</w:t>
      </w:r>
      <w:r>
        <w:rPr>
          <w:rFonts w:hint="eastAsia" w:ascii="仿宋_GB2312" w:hAnsi="仿宋_GB2312" w:eastAsia="仿宋_GB2312" w:cs="仿宋_GB2312"/>
          <w:b w:val="0"/>
          <w:bCs w:val="0"/>
          <w:kern w:val="2"/>
          <w:sz w:val="32"/>
          <w:szCs w:val="32"/>
          <w:u w:val="none"/>
          <w:shd w:val="clear"/>
          <w:lang w:val="en-US" w:eastAsia="zh-CN" w:bidi="ar-SA"/>
        </w:rPr>
        <w:t>33.59</w:t>
      </w:r>
      <w:r>
        <w:rPr>
          <w:rFonts w:ascii="仿宋_GB2312" w:hAnsi="仿宋_GB2312" w:eastAsia="仿宋_GB2312" w:cs="仿宋_GB2312"/>
          <w:b w:val="0"/>
          <w:bCs w:val="0"/>
          <w:kern w:val="2"/>
          <w:sz w:val="32"/>
          <w:szCs w:val="32"/>
          <w:u w:val="none"/>
          <w:shd w:val="clear"/>
          <w:lang w:val="en-US" w:eastAsia="zh-CN" w:bidi="ar-SA"/>
        </w:rPr>
        <w:t>万元，完成预算的</w:t>
      </w:r>
      <w:r>
        <w:rPr>
          <w:rFonts w:hint="eastAsia" w:ascii="仿宋_GB2312" w:hAnsi="仿宋_GB2312" w:eastAsia="仿宋_GB2312" w:cs="仿宋_GB2312"/>
          <w:b w:val="0"/>
          <w:bCs w:val="0"/>
          <w:kern w:val="2"/>
          <w:sz w:val="32"/>
          <w:szCs w:val="32"/>
          <w:u w:val="none"/>
          <w:shd w:val="clear"/>
          <w:lang w:val="en-US" w:eastAsia="zh-CN" w:bidi="ar-SA"/>
        </w:rPr>
        <w:t>99.4</w:t>
      </w:r>
      <w:r>
        <w:rPr>
          <w:rFonts w:ascii="仿宋_GB2312" w:hAnsi="仿宋_GB2312" w:eastAsia="仿宋_GB2312" w:cs="仿宋_GB2312"/>
          <w:b w:val="0"/>
          <w:bCs w:val="0"/>
          <w:kern w:val="2"/>
          <w:sz w:val="32"/>
          <w:szCs w:val="32"/>
          <w:u w:val="none"/>
          <w:shd w:val="clear"/>
          <w:lang w:val="en-US" w:eastAsia="zh-CN" w:bidi="ar-SA"/>
        </w:rPr>
        <w:t>%。主要产出和效果：</w:t>
      </w:r>
      <w:r>
        <w:rPr>
          <w:rFonts w:hint="eastAsia" w:ascii="仿宋_GB2312" w:hAnsi="仿宋_GB2312" w:eastAsia="仿宋_GB2312" w:cs="仿宋_GB2312"/>
          <w:b w:val="0"/>
          <w:bCs w:val="0"/>
          <w:color w:val="auto"/>
          <w:sz w:val="32"/>
          <w:szCs w:val="32"/>
          <w:lang w:eastAsia="zh-CN"/>
        </w:rPr>
        <w:t>1.</w:t>
      </w:r>
      <w:r>
        <w:rPr>
          <w:rFonts w:hint="eastAsia" w:ascii="楷体_GB2312" w:hAnsi="楷体_GB2312" w:eastAsia="楷体_GB2312" w:cs="楷体_GB2312"/>
          <w:color w:val="auto"/>
          <w:sz w:val="32"/>
          <w:szCs w:val="32"/>
          <w:lang w:eastAsia="zh-CN"/>
        </w:rPr>
        <w:t xml:space="preserve"> </w:t>
      </w:r>
      <w:r>
        <w:rPr>
          <w:rFonts w:hint="eastAsia" w:ascii="楷体_GB2312" w:hAnsi="楷体_GB2312" w:eastAsia="楷体_GB2312" w:cs="楷体_GB2312"/>
          <w:b w:val="0"/>
          <w:color w:val="auto"/>
          <w:sz w:val="32"/>
          <w:szCs w:val="32"/>
          <w:lang w:eastAsia="zh-CN"/>
        </w:rPr>
        <w:t>健全机构，扎实开展全面依法治区工作。</w:t>
      </w:r>
      <w:r>
        <w:rPr>
          <w:rFonts w:hint="eastAsia" w:ascii="仿宋_GB2312" w:hAnsi="仿宋_GB2312" w:eastAsia="仿宋_GB2312" w:cs="仿宋_GB2312"/>
          <w:b w:val="0"/>
          <w:color w:val="auto"/>
          <w:sz w:val="32"/>
          <w:szCs w:val="32"/>
          <w:lang w:eastAsia="zh-CN"/>
        </w:rPr>
        <w:t>及时召开了区委全面依法治区委员会第一次会议，成立了执法协调、司法、守法普法三个协调小组，制定了《区委全面依法治区委员会工作规则、全面依法治区委员会协调小组工作规则、区委全面依法治区委员会办公室工作规则》、《中共杨陵区委全面依法治区委员会2019年工作要点的通知》。为扎实推进法治杨陵建设，印发了《杨陵区法治杨陵建设工作方案》，进一步提升全区各部门、各单位依法行政能力水平。将普法与依法治理纳入季度考核，细化考核指标，确保普法宣传与依法治理取得实效。</w:t>
      </w:r>
    </w:p>
    <w:p>
      <w:pPr>
        <w:widowControl/>
        <w:spacing w:line="60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楷体_GB2312" w:hAnsi="楷体_GB2312" w:eastAsia="楷体_GB2312" w:cs="楷体_GB2312"/>
          <w:color w:val="auto"/>
          <w:sz w:val="32"/>
          <w:szCs w:val="32"/>
          <w:lang w:eastAsia="zh-CN"/>
        </w:rPr>
        <w:t>创新开展普法宣传，营造和谐稳定的法治环境。</w:t>
      </w:r>
      <w:r>
        <w:rPr>
          <w:rFonts w:hint="eastAsia" w:ascii="仿宋_GB2312" w:hAnsi="仿宋_GB2312" w:eastAsia="仿宋_GB2312" w:cs="仿宋_GB2312"/>
          <w:color w:val="auto"/>
          <w:sz w:val="32"/>
          <w:szCs w:val="32"/>
          <w:lang w:eastAsia="zh-CN"/>
        </w:rPr>
        <w:t>（1）普法依法治理工作取得成效。制定了《2019年农民普法工作方案》，年内完成了10个民主法治示范村（社区）的创建工作，成立5支法治宣传骨干队伍，在全区打造法治文化墙8面，建成法治文化公园（后稷公园）1个。（</w:t>
      </w:r>
      <w:r>
        <w:rPr>
          <w:rFonts w:hint="eastAsia" w:ascii="仿宋_GB2312" w:hAnsi="仿宋_GB2312" w:eastAsia="仿宋_GB2312" w:cs="仿宋_GB2312"/>
          <w:bCs/>
          <w:color w:val="auto"/>
          <w:sz w:val="32"/>
          <w:szCs w:val="32"/>
          <w:lang w:eastAsia="zh-CN"/>
        </w:rPr>
        <w:t>2</w:t>
      </w:r>
      <w:r>
        <w:rPr>
          <w:rFonts w:hint="eastAsia" w:ascii="仿宋_GB2312" w:hAnsi="仿宋_GB2312" w:eastAsia="仿宋_GB2312" w:cs="仿宋_GB2312"/>
          <w:color w:val="auto"/>
          <w:sz w:val="32"/>
          <w:szCs w:val="32"/>
          <w:lang w:eastAsia="zh-CN"/>
        </w:rPr>
        <w:t>）扎实推进“送法进校园”活动。共举办法治报告会30场次。（</w:t>
      </w:r>
      <w:r>
        <w:rPr>
          <w:rFonts w:hint="eastAsia" w:ascii="仿宋_GB2312" w:hAnsi="仿宋_GB2312" w:eastAsia="仿宋_GB2312" w:cs="仿宋_GB2312"/>
          <w:bCs/>
          <w:color w:val="auto"/>
          <w:sz w:val="32"/>
          <w:szCs w:val="32"/>
          <w:lang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lang w:eastAsia="zh-CN"/>
        </w:rPr>
        <w:t>做好“12.4”宪法宣传周各项工作。</w:t>
      </w:r>
      <w:r>
        <w:rPr>
          <w:rFonts w:hint="eastAsia" w:ascii="仿宋_GB2312" w:hAnsi="仿宋_GB2312" w:eastAsia="仿宋_GB2312" w:cs="仿宋_GB2312"/>
          <w:color w:val="auto"/>
          <w:sz w:val="32"/>
          <w:szCs w:val="32"/>
          <w:lang w:eastAsia="zh-CN"/>
        </w:rPr>
        <w:t>“12·4”宪法宣传周期间组织全区各单位、各中小学结合实际开展宪法宣传六进活动，12月2日承办陕西省“宪法进农村”主题日示范活动暨第十届“与法同行”新媒体普法进乡村大赛总决赛。12月4日开展示范区、杨陵区两级集中普法宣传活动。（4）</w:t>
      </w:r>
      <w:r>
        <w:rPr>
          <w:rFonts w:hint="eastAsia" w:ascii="仿宋_GB2312" w:hAnsi="仿宋_GB2312" w:eastAsia="仿宋_GB2312" w:cs="仿宋_GB2312"/>
          <w:bCs/>
          <w:color w:val="auto"/>
          <w:sz w:val="32"/>
          <w:szCs w:val="32"/>
          <w:lang w:eastAsia="zh-CN"/>
        </w:rPr>
        <w:t>做好日常普法宣传活动。</w:t>
      </w:r>
      <w:r>
        <w:rPr>
          <w:rFonts w:hint="eastAsia" w:ascii="仿宋_GB2312" w:hAnsi="仿宋_GB2312" w:eastAsia="仿宋_GB2312" w:cs="仿宋_GB2312"/>
          <w:color w:val="auto"/>
          <w:sz w:val="32"/>
          <w:szCs w:val="32"/>
          <w:lang w:eastAsia="zh-CN"/>
        </w:rPr>
        <w:t>开展各类普法宣传活动90余场次，累计发放普法宣传资料5万余份，接受群众现场法律咨询3000余人。2019年12月杨陵区、区委依法治区办分别被全国普法办表彰为“七五普法先进县区”、“七五普法中期先进集体”。</w:t>
      </w:r>
      <w:r>
        <w:rPr>
          <w:rFonts w:hint="eastAsia" w:ascii="楷体_GB2312" w:hAnsi="楷体_GB2312" w:eastAsia="楷体_GB2312" w:cs="楷体_GB2312"/>
          <w:color w:val="auto"/>
          <w:sz w:val="32"/>
          <w:szCs w:val="32"/>
          <w:lang w:eastAsia="zh-CN"/>
        </w:rPr>
        <w:t>3.发挥司法行政业务职能，履行司法行政服务保障作用。 （</w:t>
      </w:r>
      <w:r>
        <w:rPr>
          <w:rFonts w:hint="eastAsia" w:ascii="仿宋_GB2312" w:hAnsi="仿宋_GB2312" w:eastAsia="仿宋_GB2312" w:cs="仿宋_GB2312"/>
          <w:bCs/>
          <w:color w:val="auto"/>
          <w:sz w:val="32"/>
          <w:szCs w:val="32"/>
          <w:lang w:eastAsia="zh-CN"/>
        </w:rPr>
        <w:t>1</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bCs/>
          <w:color w:val="auto"/>
          <w:sz w:val="32"/>
          <w:szCs w:val="32"/>
          <w:lang w:eastAsia="zh-CN"/>
        </w:rPr>
        <w:t>加强人民调解工作。</w:t>
      </w:r>
      <w:r>
        <w:rPr>
          <w:rFonts w:hint="eastAsia" w:ascii="仿宋_GB2312" w:hAnsi="仿宋_GB2312" w:eastAsia="仿宋_GB2312" w:cs="仿宋_GB2312"/>
          <w:color w:val="auto"/>
          <w:sz w:val="32"/>
          <w:szCs w:val="32"/>
          <w:lang w:eastAsia="zh-CN"/>
        </w:rPr>
        <w:t>组织召开两期全区调解员法治专题培训会，多次组织</w:t>
      </w:r>
      <w:r>
        <w:rPr>
          <w:rFonts w:ascii="仿宋_GB2312" w:hAnsi="仿宋_GB2312" w:eastAsia="仿宋_GB2312" w:cs="仿宋_GB2312"/>
          <w:color w:val="auto"/>
          <w:sz w:val="32"/>
          <w:szCs w:val="32"/>
          <w:lang w:eastAsia="zh-CN"/>
        </w:rPr>
        <w:t>部分调解员</w:t>
      </w:r>
      <w:r>
        <w:rPr>
          <w:rFonts w:hint="eastAsia" w:ascii="仿宋_GB2312" w:hAnsi="仿宋_GB2312" w:eastAsia="仿宋_GB2312" w:cs="仿宋_GB2312"/>
          <w:color w:val="auto"/>
          <w:sz w:val="32"/>
          <w:szCs w:val="32"/>
          <w:lang w:eastAsia="zh-CN"/>
        </w:rPr>
        <w:t>参加</w:t>
      </w:r>
      <w:r>
        <w:rPr>
          <w:rFonts w:ascii="仿宋_GB2312" w:hAnsi="仿宋_GB2312" w:eastAsia="仿宋_GB2312" w:cs="仿宋_GB2312"/>
          <w:color w:val="auto"/>
          <w:sz w:val="32"/>
          <w:szCs w:val="32"/>
          <w:lang w:eastAsia="zh-CN"/>
        </w:rPr>
        <w:t>全国、省</w:t>
      </w:r>
      <w:r>
        <w:rPr>
          <w:rFonts w:hint="eastAsia" w:ascii="仿宋_GB2312" w:hAnsi="仿宋_GB2312" w:eastAsia="仿宋_GB2312" w:cs="仿宋_GB2312"/>
          <w:color w:val="auto"/>
          <w:sz w:val="32"/>
          <w:szCs w:val="32"/>
          <w:lang w:eastAsia="zh-CN"/>
        </w:rPr>
        <w:t>上的培训</w:t>
      </w:r>
      <w:r>
        <w:rPr>
          <w:rFonts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lang w:eastAsia="zh-CN"/>
        </w:rPr>
        <w:t>，推进全区基层社会治理法治化水平。印发了《杨陵区村(社区)人民调解委员会主任工作考核暂行办法》，加大</w:t>
      </w:r>
      <w:r>
        <w:rPr>
          <w:rFonts w:ascii="仿宋_GB2312" w:hAnsi="仿宋_GB2312" w:eastAsia="仿宋_GB2312" w:cs="仿宋_GB2312"/>
          <w:color w:val="auto"/>
          <w:sz w:val="32"/>
          <w:szCs w:val="32"/>
          <w:lang w:eastAsia="zh-CN"/>
        </w:rPr>
        <w:t>考核力度，充分</w:t>
      </w:r>
      <w:r>
        <w:rPr>
          <w:rFonts w:hint="eastAsia" w:ascii="仿宋_GB2312" w:hAnsi="仿宋_GB2312" w:eastAsia="仿宋_GB2312" w:cs="仿宋_GB2312"/>
          <w:color w:val="auto"/>
          <w:sz w:val="32"/>
          <w:szCs w:val="32"/>
          <w:lang w:eastAsia="zh-CN"/>
        </w:rPr>
        <w:t>调动了调委会主任的工作积极性和主动性，全年全区各级各类人民调解委员会共调解案件843件，调解成功813件，调解协议涉及金额646.72万元，调解成功率达96%。（2）做好法律援助工作。法律援助收案127件，结案67件，挽回经济损失85万余元。建成三级公共法律服务平台。（3）做好公证工作。全年办理各类公证561件，较上年增加113件，其中涉外234件。（4）特殊人群管控。开展特殊人群春节走访活动，组织全体社区矫正对象到杨陵区看守所开展警示教育，全年开展社区矫正调查评估65件，累计解矫38人，因矫正前漏罪收监1人，提请有关单位特赦1人，目前我区在矫社区人员57名。（5）</w:t>
      </w:r>
      <w:r>
        <w:rPr>
          <w:rFonts w:hint="eastAsia" w:ascii="仿宋_GB2312" w:hAnsi="仿宋_GB2312" w:eastAsia="仿宋_GB2312" w:cs="仿宋_GB2312"/>
          <w:bCs/>
          <w:color w:val="auto"/>
          <w:sz w:val="32"/>
          <w:szCs w:val="32"/>
          <w:lang w:eastAsia="zh-CN"/>
        </w:rPr>
        <w:t>扎实开展扫黑除恶专项斗争工作及无黑无恶创建活动。</w:t>
      </w:r>
      <w:r>
        <w:rPr>
          <w:rFonts w:hint="eastAsia" w:ascii="仿宋_GB2312" w:hAnsi="仿宋_GB2312" w:eastAsia="仿宋_GB2312" w:cs="仿宋_GB2312"/>
          <w:color w:val="auto"/>
          <w:sz w:val="32"/>
          <w:szCs w:val="32"/>
          <w:lang w:eastAsia="zh-CN"/>
        </w:rPr>
        <w:t>制定扫黑除恶四项工作制度，加强律师代理</w:t>
      </w:r>
      <w:r>
        <w:rPr>
          <w:rFonts w:ascii="仿宋_GB2312" w:hAnsi="仿宋_GB2312" w:eastAsia="仿宋_GB2312" w:cs="仿宋_GB2312"/>
          <w:color w:val="auto"/>
          <w:sz w:val="32"/>
          <w:szCs w:val="32"/>
          <w:lang w:eastAsia="zh-CN"/>
        </w:rPr>
        <w:t>涉黑涉恶案件</w:t>
      </w:r>
      <w:r>
        <w:rPr>
          <w:rFonts w:hint="eastAsia" w:ascii="仿宋_GB2312" w:hAnsi="仿宋_GB2312" w:eastAsia="仿宋_GB2312" w:cs="仿宋_GB2312"/>
          <w:color w:val="auto"/>
          <w:sz w:val="32"/>
          <w:szCs w:val="32"/>
          <w:lang w:eastAsia="zh-CN"/>
        </w:rPr>
        <w:t>管理，深入开展普法宣传、线索摸排、大走访等活动，做好中央督导组对我区扫黑除恶专项斗争反馈问题整改工作。</w:t>
      </w:r>
      <w:r>
        <w:rPr>
          <w:rFonts w:hint="eastAsia" w:ascii="楷体_GB2312" w:hAnsi="楷体_GB2312" w:eastAsia="楷体_GB2312" w:cs="楷体_GB2312"/>
          <w:color w:val="auto"/>
          <w:sz w:val="32"/>
          <w:szCs w:val="32"/>
          <w:lang w:eastAsia="zh-CN"/>
        </w:rPr>
        <w:t>4.全面推进依法行政，加强法治政府建设。（</w:t>
      </w:r>
      <w:r>
        <w:rPr>
          <w:rFonts w:hint="eastAsia" w:ascii="仿宋_GB2312" w:hAnsi="仿宋_GB2312" w:eastAsia="仿宋_GB2312" w:cs="仿宋_GB2312"/>
          <w:bCs/>
          <w:color w:val="auto"/>
          <w:sz w:val="32"/>
          <w:szCs w:val="32"/>
          <w:lang w:eastAsia="zh-CN"/>
        </w:rPr>
        <w:t>1</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bCs/>
          <w:color w:val="auto"/>
          <w:sz w:val="32"/>
          <w:szCs w:val="32"/>
          <w:lang w:eastAsia="zh-CN"/>
        </w:rPr>
        <w:t>加强依法行政水平。</w:t>
      </w:r>
      <w:r>
        <w:rPr>
          <w:rFonts w:hint="eastAsia" w:ascii="仿宋_GB2312" w:hAnsi="仿宋_GB2312" w:eastAsia="仿宋_GB2312" w:cs="仿宋_GB2312"/>
          <w:color w:val="auto"/>
          <w:sz w:val="32"/>
          <w:szCs w:val="32"/>
          <w:lang w:eastAsia="zh-CN"/>
        </w:rPr>
        <w:t>制定两级《2019年法治政府建设工作要点》、《2019年度常务会议学法计划》等文件。组织全区新申领（换发）执法证人员开展行政执法培训、考试。（</w:t>
      </w:r>
      <w:r>
        <w:rPr>
          <w:rFonts w:hint="eastAsia" w:ascii="仿宋_GB2312" w:hAnsi="仿宋_GB2312" w:eastAsia="仿宋_GB2312" w:cs="仿宋_GB2312"/>
          <w:bCs/>
          <w:color w:val="auto"/>
          <w:sz w:val="32"/>
          <w:szCs w:val="32"/>
          <w:lang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lang w:eastAsia="zh-CN"/>
        </w:rPr>
        <w:t>做好行政复议和行政应诉及法制审查工作。</w:t>
      </w:r>
      <w:r>
        <w:rPr>
          <w:rFonts w:hint="eastAsia" w:ascii="仿宋_GB2312" w:hAnsi="仿宋_GB2312" w:eastAsia="仿宋_GB2312" w:cs="仿宋_GB2312"/>
          <w:color w:val="auto"/>
          <w:sz w:val="32"/>
          <w:szCs w:val="32"/>
          <w:lang w:eastAsia="zh-CN"/>
        </w:rPr>
        <w:t>共办理复议案件4件，行政应诉案件9件。审查备案合同50余份、重要协议及文件11件、出具法律责任及风险分析报告2份、信访事项合法性审查答复1件。（</w:t>
      </w:r>
      <w:r>
        <w:rPr>
          <w:rFonts w:hint="eastAsia" w:ascii="仿宋_GB2312" w:hAnsi="仿宋_GB2312" w:eastAsia="仿宋_GB2312" w:cs="仿宋_GB2312"/>
          <w:bCs/>
          <w:color w:val="auto"/>
          <w:sz w:val="32"/>
          <w:szCs w:val="32"/>
          <w:lang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lang w:eastAsia="zh-CN"/>
        </w:rPr>
        <w:t>扎实开展执法案卷评查。</w:t>
      </w:r>
      <w:r>
        <w:rPr>
          <w:rFonts w:hint="eastAsia" w:ascii="仿宋_GB2312" w:hAnsi="仿宋_GB2312" w:eastAsia="仿宋_GB2312" w:cs="仿宋_GB2312"/>
          <w:color w:val="auto"/>
          <w:sz w:val="32"/>
          <w:szCs w:val="32"/>
          <w:lang w:eastAsia="zh-CN"/>
        </w:rPr>
        <w:t>成立案卷评查小组对行政执法案卷进行集中评查，进一步提升全区行政机关公正文明执法工作水平和行政执法案卷标准化归档工作。（</w:t>
      </w:r>
      <w:r>
        <w:rPr>
          <w:rFonts w:hint="eastAsia" w:ascii="仿宋_GB2312" w:hAnsi="仿宋_GB2312" w:eastAsia="仿宋_GB2312" w:cs="仿宋_GB2312"/>
          <w:bCs/>
          <w:color w:val="auto"/>
          <w:sz w:val="32"/>
          <w:szCs w:val="32"/>
          <w:lang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lang w:eastAsia="zh-CN"/>
        </w:rPr>
        <w:t>做好全国法治政府示范创建工作。</w:t>
      </w:r>
      <w:r>
        <w:rPr>
          <w:rFonts w:hint="eastAsia" w:ascii="仿宋_GB2312" w:hAnsi="仿宋_GB2312" w:eastAsia="仿宋_GB2312" w:cs="仿宋_GB2312"/>
          <w:color w:val="auto"/>
          <w:sz w:val="32"/>
          <w:szCs w:val="32"/>
          <w:lang w:eastAsia="zh-CN"/>
        </w:rPr>
        <w:t>今年8月，杨陵区开展了全国法治政府示范区创建工作，通过省司法厅初审推荐创建全国法治政府示范县（区），通过创建工作的开展，提高了我区行政执法部门的执法能力和法治政府服务水平。2019年杨陵区被命名为全省首批法治政府示范区。</w:t>
      </w:r>
    </w:p>
    <w:p>
      <w:pPr>
        <w:widowControl/>
        <w:jc w:val="left"/>
        <w:rPr>
          <w:rFonts w:ascii="仿宋_GB2312" w:hAnsi="仿宋_GB2312" w:eastAsia="仿宋_GB2312" w:cs="仿宋_GB2312"/>
          <w:color w:val="000000"/>
          <w:kern w:val="0"/>
          <w:sz w:val="31"/>
          <w:szCs w:val="31"/>
          <w:lang w:bidi="ar"/>
        </w:rPr>
      </w:pPr>
      <w:r>
        <w:rPr>
          <w:rFonts w:hint="eastAsia" w:ascii="楷体_GB2312" w:hAnsi="楷体_GB2312" w:eastAsia="楷体_GB2312" w:cs="楷体_GB2312"/>
          <w:color w:val="auto"/>
          <w:sz w:val="32"/>
          <w:szCs w:val="32"/>
          <w:lang w:eastAsia="zh-CN"/>
        </w:rPr>
        <w:t>5.创新工作。</w:t>
      </w:r>
      <w:r>
        <w:rPr>
          <w:rFonts w:hint="eastAsia" w:ascii="仿宋_GB2312" w:hAnsi="仿宋_GB2312" w:eastAsia="仿宋_GB2312" w:cs="仿宋_GB2312"/>
          <w:bCs/>
          <w:color w:val="auto"/>
          <w:sz w:val="32"/>
          <w:szCs w:val="32"/>
          <w:lang w:eastAsia="zh-CN"/>
        </w:rPr>
        <w:t>（1）成立首个律师个人调解工作室。</w:t>
      </w:r>
      <w:r>
        <w:rPr>
          <w:rFonts w:hint="eastAsia" w:ascii="仿宋_GB2312" w:hAnsi="仿宋_GB2312" w:eastAsia="仿宋_GB2312" w:cs="仿宋_GB2312"/>
          <w:color w:val="auto"/>
          <w:sz w:val="32"/>
          <w:szCs w:val="32"/>
          <w:lang w:eastAsia="zh-CN"/>
        </w:rPr>
        <w:t>成立了杨陵首个律师名字命名的个人调解工作室。目前，该个人调解工作室受理8起调解案件，成功调处6件。</w:t>
      </w:r>
      <w:r>
        <w:rPr>
          <w:rFonts w:hint="eastAsia" w:ascii="仿宋_GB2312" w:hAnsi="仿宋_GB2312" w:eastAsia="仿宋_GB2312" w:cs="仿宋_GB2312"/>
          <w:bCs/>
          <w:color w:val="auto"/>
          <w:sz w:val="32"/>
          <w:szCs w:val="32"/>
          <w:lang w:eastAsia="zh-CN"/>
        </w:rPr>
        <w:t>（2）开展“以案释法”普法讲座。</w:t>
      </w:r>
      <w:r>
        <w:rPr>
          <w:rFonts w:hint="eastAsia" w:ascii="仿宋_GB2312" w:hAnsi="仿宋_GB2312" w:eastAsia="仿宋_GB2312" w:cs="仿宋_GB2312"/>
          <w:color w:val="auto"/>
          <w:sz w:val="32"/>
          <w:szCs w:val="32"/>
          <w:lang w:eastAsia="zh-CN"/>
        </w:rPr>
        <w:t>组建了20名普法志愿者队伍开展“以案释法”法治宣传活动，先后在5个村（社区）、5个卫生服务中心开展活动10场次，普法成效明显。（3）开展扫黑除恶智慧普法知识竞赛。开展智慧普法线上赛2期，开展“扫黑除恶”、“智慧普法”为主题的线下赛2场次。</w:t>
      </w:r>
    </w:p>
    <w:p>
      <w:pPr>
        <w:rPr>
          <w:rFonts w:ascii="楷体" w:hAnsi="楷体" w:eastAsia="楷体" w:cs="楷体"/>
          <w:sz w:val="32"/>
          <w:szCs w:val="32"/>
        </w:rPr>
      </w:pPr>
    </w:p>
    <w:p>
      <w:pPr>
        <w:rPr>
          <w:rFonts w:ascii="楷体" w:hAnsi="楷体" w:eastAsia="楷体" w:cs="楷体"/>
          <w:sz w:val="32"/>
          <w:szCs w:val="32"/>
        </w:rPr>
      </w:pPr>
    </w:p>
    <w:p>
      <w:pPr>
        <w:pStyle w:val="2"/>
        <w:rPr>
          <w:rFonts w:ascii="楷体" w:hAnsi="楷体" w:eastAsia="楷体" w:cs="楷体"/>
          <w:sz w:val="32"/>
          <w:szCs w:val="32"/>
        </w:rPr>
      </w:pPr>
    </w:p>
    <w:p>
      <w:pPr>
        <w:pStyle w:val="3"/>
        <w:rPr>
          <w:rFonts w:ascii="楷体" w:hAnsi="楷体" w:eastAsia="楷体" w:cs="楷体"/>
          <w:sz w:val="32"/>
          <w:szCs w:val="32"/>
        </w:rPr>
      </w:pPr>
    </w:p>
    <w:p>
      <w:pPr>
        <w:rPr>
          <w:rFonts w:ascii="楷体" w:hAnsi="楷体" w:eastAsia="楷体" w:cs="楷体"/>
          <w:sz w:val="32"/>
          <w:szCs w:val="32"/>
        </w:rPr>
      </w:pPr>
    </w:p>
    <w:p>
      <w:pPr>
        <w:pStyle w:val="2"/>
      </w:pPr>
    </w:p>
    <w:p>
      <w:pPr>
        <w:rPr>
          <w:rFonts w:ascii="楷体" w:hAnsi="楷体" w:eastAsia="楷体" w:cs="楷体"/>
          <w:sz w:val="32"/>
          <w:szCs w:val="32"/>
        </w:rPr>
      </w:pPr>
    </w:p>
    <w:p>
      <w:pPr>
        <w:rPr>
          <w:rFonts w:ascii="楷体" w:hAnsi="楷体" w:eastAsia="楷体" w:cs="楷体"/>
          <w:sz w:val="32"/>
          <w:szCs w:val="32"/>
        </w:rPr>
      </w:pPr>
    </w:p>
    <w:tbl>
      <w:tblPr>
        <w:tblStyle w:val="10"/>
        <w:tblW w:w="9459" w:type="dxa"/>
        <w:tblInd w:w="0" w:type="dxa"/>
        <w:shd w:val="clear" w:color="auto" w:fill="auto"/>
        <w:tblLayout w:type="fixed"/>
        <w:tblCellMar>
          <w:top w:w="0" w:type="dxa"/>
          <w:left w:w="0" w:type="dxa"/>
          <w:bottom w:w="0" w:type="dxa"/>
          <w:right w:w="0" w:type="dxa"/>
        </w:tblCellMar>
      </w:tblPr>
      <w:tblGrid>
        <w:gridCol w:w="795"/>
        <w:gridCol w:w="550"/>
        <w:gridCol w:w="254"/>
        <w:gridCol w:w="1024"/>
        <w:gridCol w:w="386"/>
        <w:gridCol w:w="1635"/>
        <w:gridCol w:w="1709"/>
        <w:gridCol w:w="937"/>
        <w:gridCol w:w="2169"/>
      </w:tblGrid>
      <w:tr>
        <w:tblPrEx>
          <w:shd w:val="clear" w:color="auto" w:fill="auto"/>
          <w:tblCellMar>
            <w:top w:w="0" w:type="dxa"/>
            <w:left w:w="0" w:type="dxa"/>
            <w:bottom w:w="0" w:type="dxa"/>
            <w:right w:w="0" w:type="dxa"/>
          </w:tblCellMar>
        </w:tblPrEx>
        <w:trPr>
          <w:trHeight w:val="450" w:hRule="atLeast"/>
        </w:trPr>
        <w:tc>
          <w:tcPr>
            <w:tcW w:w="9459" w:type="dxa"/>
            <w:gridSpan w:val="9"/>
            <w:tcBorders>
              <w:top w:val="nil"/>
              <w:left w:val="nil"/>
              <w:bottom w:val="nil"/>
              <w:right w:val="nil"/>
            </w:tcBorders>
            <w:shd w:val="clear" w:color="auto" w:fill="auto"/>
            <w:noWrap/>
            <w:tcMar>
              <w:top w:w="15" w:type="dxa"/>
              <w:left w:w="15" w:type="dxa"/>
              <w:right w:w="15" w:type="dxa"/>
            </w:tcMar>
            <w:vAlign w:val="center"/>
          </w:tcPr>
          <w:tbl>
            <w:tblPr>
              <w:tblStyle w:val="10"/>
              <w:tblW w:w="9285" w:type="dxa"/>
              <w:tblInd w:w="0" w:type="dxa"/>
              <w:shd w:val="clear" w:color="auto" w:fill="auto"/>
              <w:tblLayout w:type="fixed"/>
              <w:tblCellMar>
                <w:top w:w="0" w:type="dxa"/>
                <w:left w:w="0" w:type="dxa"/>
                <w:bottom w:w="0" w:type="dxa"/>
                <w:right w:w="0" w:type="dxa"/>
              </w:tblCellMar>
            </w:tblPr>
            <w:tblGrid>
              <w:gridCol w:w="795"/>
              <w:gridCol w:w="550"/>
              <w:gridCol w:w="1038"/>
              <w:gridCol w:w="240"/>
              <w:gridCol w:w="1322"/>
              <w:gridCol w:w="1088"/>
              <w:gridCol w:w="1320"/>
              <w:gridCol w:w="937"/>
              <w:gridCol w:w="1968"/>
            </w:tblGrid>
            <w:tr>
              <w:tblPrEx>
                <w:shd w:val="clear" w:color="auto" w:fill="auto"/>
                <w:tblCellMar>
                  <w:top w:w="0" w:type="dxa"/>
                  <w:left w:w="0" w:type="dxa"/>
                  <w:bottom w:w="0" w:type="dxa"/>
                  <w:right w:w="0" w:type="dxa"/>
                </w:tblCellMar>
              </w:tblPrEx>
              <w:trPr>
                <w:trHeight w:val="450" w:hRule="atLeast"/>
              </w:trPr>
              <w:tc>
                <w:tcPr>
                  <w:tcW w:w="925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cs="宋体"/>
                      <w:b/>
                      <w:i w:val="0"/>
                      <w:color w:val="000000"/>
                      <w:kern w:val="0"/>
                      <w:sz w:val="36"/>
                      <w:szCs w:val="36"/>
                      <w:u w:val="none"/>
                      <w:lang w:val="en-US" w:eastAsia="zh-CN" w:bidi="ar"/>
                    </w:rPr>
                    <w:t>区级预算</w:t>
                  </w:r>
                  <w:r>
                    <w:rPr>
                      <w:rFonts w:hint="eastAsia" w:ascii="宋体" w:hAnsi="宋体" w:eastAsia="宋体" w:cs="宋体"/>
                      <w:b/>
                      <w:i w:val="0"/>
                      <w:color w:val="000000"/>
                      <w:kern w:val="0"/>
                      <w:sz w:val="36"/>
                      <w:szCs w:val="36"/>
                      <w:u w:val="none"/>
                      <w:lang w:val="en-US" w:eastAsia="zh-CN" w:bidi="ar"/>
                    </w:rPr>
                    <w:t>项目绩效目标自评表</w:t>
                  </w:r>
                </w:p>
              </w:tc>
            </w:tr>
            <w:tr>
              <w:tblPrEx>
                <w:tblCellMar>
                  <w:top w:w="0" w:type="dxa"/>
                  <w:left w:w="0" w:type="dxa"/>
                  <w:bottom w:w="0" w:type="dxa"/>
                  <w:right w:w="0" w:type="dxa"/>
                </w:tblCellMar>
              </w:tblPrEx>
              <w:trPr>
                <w:trHeight w:val="285" w:hRule="atLeast"/>
              </w:trPr>
              <w:tc>
                <w:tcPr>
                  <w:tcW w:w="79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Chars="9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5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03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08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2019年度</w:t>
                  </w:r>
                </w:p>
              </w:tc>
              <w:tc>
                <w:tcPr>
                  <w:tcW w:w="132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3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96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专项</w:t>
                  </w:r>
                  <w:r>
                    <w:rPr>
                      <w:rFonts w:hint="eastAsia" w:ascii="宋体" w:hAnsi="宋体" w:eastAsia="宋体" w:cs="宋体"/>
                      <w:i w:val="0"/>
                      <w:color w:val="000000"/>
                      <w:kern w:val="0"/>
                      <w:sz w:val="18"/>
                      <w:szCs w:val="18"/>
                      <w:u w:val="none"/>
                      <w:lang w:val="en-US" w:eastAsia="zh-CN" w:bidi="ar"/>
                    </w:rPr>
                    <w:t>（项目）名 称</w:t>
                  </w:r>
                </w:p>
              </w:tc>
              <w:tc>
                <w:tcPr>
                  <w:tcW w:w="687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法制宣传经费</w:t>
                  </w:r>
                </w:p>
              </w:tc>
            </w:tr>
            <w:tr>
              <w:tblPrEx>
                <w:tblCellMar>
                  <w:top w:w="0" w:type="dxa"/>
                  <w:left w:w="0" w:type="dxa"/>
                  <w:bottom w:w="0" w:type="dxa"/>
                  <w:right w:w="0" w:type="dxa"/>
                </w:tblCellMar>
              </w:tblPrEx>
              <w:trPr>
                <w:trHeight w:val="345"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地方主管部门</w:t>
                  </w: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杨陵区</w:t>
                  </w:r>
                  <w:r>
                    <w:rPr>
                      <w:rFonts w:hint="eastAsia" w:ascii="宋体" w:hAnsi="宋体" w:cs="宋体"/>
                      <w:i w:val="0"/>
                      <w:color w:val="000000"/>
                      <w:kern w:val="0"/>
                      <w:sz w:val="18"/>
                      <w:szCs w:val="18"/>
                      <w:u w:val="none"/>
                      <w:lang w:val="en-US" w:eastAsia="zh-CN" w:bidi="ar"/>
                    </w:rPr>
                    <w:t>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杨陵区司法局</w:t>
                  </w:r>
                </w:p>
              </w:tc>
            </w:tr>
            <w:tr>
              <w:tblPrEx>
                <w:tblCellMar>
                  <w:top w:w="0" w:type="dxa"/>
                  <w:left w:w="0" w:type="dxa"/>
                  <w:bottom w:w="0" w:type="dxa"/>
                  <w:right w:w="0" w:type="dxa"/>
                </w:tblCellMar>
              </w:tblPrEx>
              <w:trPr>
                <w:trHeight w:val="585" w:hRule="atLeast"/>
              </w:trPr>
              <w:tc>
                <w:tcPr>
                  <w:tcW w:w="23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 （万元）</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w:t>
                  </w:r>
                  <w:r>
                    <w:rPr>
                      <w:rFonts w:hint="eastAsia" w:ascii="宋体" w:hAnsi="宋体" w:cs="宋体"/>
                      <w:i w:val="0"/>
                      <w:color w:val="000000"/>
                      <w:kern w:val="0"/>
                      <w:sz w:val="18"/>
                      <w:szCs w:val="18"/>
                      <w:u w:val="none"/>
                      <w:lang w:val="en-US" w:eastAsia="zh-CN" w:bidi="ar"/>
                    </w:rPr>
                    <w:t>数</w:t>
                  </w:r>
                  <w:r>
                    <w:rPr>
                      <w:rFonts w:hint="eastAsia" w:ascii="宋体" w:hAnsi="宋体" w:eastAsia="宋体" w:cs="宋体"/>
                      <w:i w:val="0"/>
                      <w:color w:val="000000"/>
                      <w:kern w:val="0"/>
                      <w:sz w:val="18"/>
                      <w:szCs w:val="18"/>
                      <w:u w:val="none"/>
                      <w:lang w:val="en-US" w:eastAsia="zh-CN" w:bidi="ar"/>
                    </w:rPr>
                    <w:t>（A）</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预算执行率（B/A）</w:t>
                  </w:r>
                </w:p>
              </w:tc>
            </w:tr>
            <w:tr>
              <w:tblPrEx>
                <w:tblCellMar>
                  <w:top w:w="0" w:type="dxa"/>
                  <w:left w:w="0" w:type="dxa"/>
                  <w:bottom w:w="0" w:type="dxa"/>
                  <w:right w:w="0" w:type="dxa"/>
                </w:tblCellMar>
              </w:tblPrEx>
              <w:trPr>
                <w:trHeight w:val="345" w:hRule="atLeast"/>
              </w:trPr>
              <w:tc>
                <w:tcPr>
                  <w:tcW w:w="23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45" w:hRule="atLeast"/>
              </w:trPr>
              <w:tc>
                <w:tcPr>
                  <w:tcW w:w="23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区级财政资金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45" w:hRule="atLeast"/>
              </w:trPr>
              <w:tc>
                <w:tcPr>
                  <w:tcW w:w="23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年度总体目标 </w:t>
                  </w:r>
                </w:p>
              </w:tc>
              <w:tc>
                <w:tcPr>
                  <w:tcW w:w="423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年初设定目标</w:t>
                  </w:r>
                </w:p>
              </w:tc>
              <w:tc>
                <w:tcPr>
                  <w:tcW w:w="42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CellMar>
                  <w:top w:w="0" w:type="dxa"/>
                  <w:left w:w="0" w:type="dxa"/>
                  <w:bottom w:w="0" w:type="dxa"/>
                  <w:right w:w="0" w:type="dxa"/>
                </w:tblCellMar>
              </w:tblPrEx>
              <w:trPr>
                <w:trHeight w:val="11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3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立足“三个杨凌”建设工作大局，强化改革思维和法治措施，整合资源、主动作为，充分发挥法治宣传、法律服务、法律保障职能，深入推进“法治杨陵”建设。</w:t>
                  </w:r>
                </w:p>
              </w:tc>
              <w:tc>
                <w:tcPr>
                  <w:tcW w:w="42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充分发挥法治宣传、法律服务、法律保障职能作用，深入推进“法治杨陵”建设，较好地完成了全年各项目标任务。</w:t>
                  </w:r>
                </w:p>
              </w:tc>
            </w:tr>
            <w:tr>
              <w:tblPrEx>
                <w:tblCellMar>
                  <w:top w:w="0" w:type="dxa"/>
                  <w:left w:w="0" w:type="dxa"/>
                  <w:bottom w:w="0" w:type="dxa"/>
                  <w:right w:w="0" w:type="dxa"/>
                </w:tblCellMar>
              </w:tblPrEx>
              <w:trPr>
                <w:trHeight w:val="5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 效 指 标</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三级指标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全年完成值</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未完成原因和改进措施</w:t>
                  </w: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开展法治宣传教育活动次数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法治宣传活动参加人数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法治节目展播受众人数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质最指标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普法宣传覆盖面</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7"/>
                      <w:lang w:val="en-US" w:eastAsia="zh-CN" w:bidi="ar"/>
                    </w:rPr>
                    <w:t>≧</w:t>
                  </w:r>
                  <w:r>
                    <w:rPr>
                      <w:rStyle w:val="18"/>
                      <w:rFonts w:eastAsia="宋体"/>
                      <w:lang w:val="en-US" w:eastAsia="zh-CN" w:bidi="ar"/>
                    </w:rPr>
                    <w:t>95%</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人民群众法治化水平</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逐步提高</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明显提高</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普法宣传水平</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明显提高</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明显提高</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考生满意率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7"/>
                      <w:lang w:val="en-US" w:eastAsia="zh-CN" w:bidi="ar"/>
                    </w:rPr>
                    <w:t>≧</w:t>
                  </w:r>
                  <w:r>
                    <w:rPr>
                      <w:rStyle w:val="18"/>
                      <w:rFonts w:eastAsia="宋体"/>
                      <w:lang w:val="en-US" w:eastAsia="zh-CN" w:bidi="ar"/>
                    </w:rPr>
                    <w:t>95%</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97.81%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w:t>
                  </w:r>
                </w:p>
              </w:tc>
              <w:tc>
                <w:tcPr>
                  <w:tcW w:w="8463"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bl>
          <w:p>
            <w:pPr>
              <w:rPr>
                <w:rFonts w:ascii="楷体" w:hAnsi="楷体" w:eastAsia="楷体" w:cs="楷体"/>
                <w:sz w:val="32"/>
                <w:szCs w:val="32"/>
              </w:rPr>
            </w:pPr>
          </w:p>
          <w:tbl>
            <w:tblPr>
              <w:tblStyle w:val="10"/>
              <w:tblW w:w="9285" w:type="dxa"/>
              <w:tblInd w:w="0" w:type="dxa"/>
              <w:shd w:val="clear" w:color="auto" w:fill="auto"/>
              <w:tblLayout w:type="fixed"/>
              <w:tblCellMar>
                <w:top w:w="0" w:type="dxa"/>
                <w:left w:w="0" w:type="dxa"/>
                <w:bottom w:w="0" w:type="dxa"/>
                <w:right w:w="0" w:type="dxa"/>
              </w:tblCellMar>
            </w:tblPr>
            <w:tblGrid>
              <w:gridCol w:w="9285"/>
            </w:tblGrid>
            <w:tr>
              <w:tblPrEx>
                <w:tblCellMar>
                  <w:top w:w="0" w:type="dxa"/>
                  <w:left w:w="0" w:type="dxa"/>
                  <w:bottom w:w="0" w:type="dxa"/>
                  <w:right w:w="0" w:type="dxa"/>
                </w:tblCellMar>
              </w:tblPrEx>
              <w:trPr>
                <w:trHeight w:val="570" w:hRule="atLeast"/>
              </w:trPr>
              <w:tc>
                <w:tcPr>
                  <w:tcW w:w="92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注：1.其他资金包括和财政资金共同投入到同一项目的自有资金、社会资金，以及以前年度的结转结余资金等。</w:t>
                  </w:r>
                </w:p>
              </w:tc>
            </w:tr>
            <w:tr>
              <w:tblPrEx>
                <w:tblCellMar>
                  <w:top w:w="0" w:type="dxa"/>
                  <w:left w:w="0" w:type="dxa"/>
                  <w:bottom w:w="0" w:type="dxa"/>
                  <w:right w:w="0" w:type="dxa"/>
                </w:tblCellMar>
              </w:tblPrEx>
              <w:trPr>
                <w:trHeight w:val="540" w:hRule="atLeast"/>
              </w:trPr>
              <w:tc>
                <w:tcPr>
                  <w:tcW w:w="92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2.定量指标，资金使用单位填写本地区实际完成数。财政和主管部门汇总时，对绝对值直接累加计算，相对值按照资金额度加权平均计算。</w:t>
                  </w:r>
                </w:p>
              </w:tc>
            </w:tr>
            <w:tr>
              <w:tblPrEx>
                <w:tblCellMar>
                  <w:top w:w="0" w:type="dxa"/>
                  <w:left w:w="0" w:type="dxa"/>
                  <w:bottom w:w="0" w:type="dxa"/>
                  <w:right w:w="0" w:type="dxa"/>
                </w:tblCellMar>
              </w:tblPrEx>
              <w:trPr>
                <w:trHeight w:val="510" w:hRule="atLeast"/>
              </w:trPr>
              <w:tc>
                <w:tcPr>
                  <w:tcW w:w="92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rPr>
                <w:rFonts w:ascii="楷体" w:hAnsi="楷体" w:eastAsia="楷体" w:cs="楷体"/>
                <w:sz w:val="32"/>
                <w:szCs w:val="32"/>
              </w:rPr>
            </w:pP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cs="宋体"/>
                <w:b/>
                <w:i w:val="0"/>
                <w:color w:val="000000"/>
                <w:kern w:val="0"/>
                <w:sz w:val="36"/>
                <w:szCs w:val="36"/>
                <w:u w:val="none"/>
                <w:lang w:val="en-US" w:eastAsia="zh-CN" w:bidi="ar"/>
              </w:rPr>
              <w:t>区级预算</w:t>
            </w:r>
            <w:r>
              <w:rPr>
                <w:rFonts w:hint="eastAsia" w:ascii="宋体" w:hAnsi="宋体" w:eastAsia="宋体" w:cs="宋体"/>
                <w:b/>
                <w:i w:val="0"/>
                <w:color w:val="000000"/>
                <w:kern w:val="0"/>
                <w:sz w:val="36"/>
                <w:szCs w:val="36"/>
                <w:u w:val="none"/>
                <w:lang w:val="en-US" w:eastAsia="zh-CN" w:bidi="ar"/>
              </w:rPr>
              <w:t>项目绩效目标自评表</w:t>
            </w:r>
          </w:p>
        </w:tc>
      </w:tr>
      <w:tr>
        <w:tblPrEx>
          <w:tblCellMar>
            <w:top w:w="0" w:type="dxa"/>
            <w:left w:w="0" w:type="dxa"/>
            <w:bottom w:w="0" w:type="dxa"/>
            <w:right w:w="0" w:type="dxa"/>
          </w:tblCellMar>
        </w:tblPrEx>
        <w:trPr>
          <w:trHeight w:val="285" w:hRule="atLeast"/>
        </w:trPr>
        <w:tc>
          <w:tcPr>
            <w:tcW w:w="79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Chars="9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5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5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02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8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63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2019年度</w:t>
            </w:r>
          </w:p>
        </w:tc>
        <w:tc>
          <w:tcPr>
            <w:tcW w:w="170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3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16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5" w:hRule="atLeast"/>
        </w:trPr>
        <w:tc>
          <w:tcPr>
            <w:tcW w:w="159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专项</w:t>
            </w:r>
            <w:r>
              <w:rPr>
                <w:rFonts w:hint="eastAsia" w:ascii="宋体" w:hAnsi="宋体" w:eastAsia="宋体" w:cs="宋体"/>
                <w:i w:val="0"/>
                <w:color w:val="000000"/>
                <w:kern w:val="0"/>
                <w:sz w:val="18"/>
                <w:szCs w:val="18"/>
                <w:u w:val="none"/>
                <w:lang w:val="en-US" w:eastAsia="zh-CN" w:bidi="ar"/>
              </w:rPr>
              <w:t>（项目）名 称</w:t>
            </w:r>
          </w:p>
        </w:tc>
        <w:tc>
          <w:tcPr>
            <w:tcW w:w="786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法律援助专项经费</w:t>
            </w:r>
          </w:p>
        </w:tc>
      </w:tr>
      <w:tr>
        <w:tblPrEx>
          <w:tblCellMar>
            <w:top w:w="0" w:type="dxa"/>
            <w:left w:w="0" w:type="dxa"/>
            <w:bottom w:w="0" w:type="dxa"/>
            <w:right w:w="0" w:type="dxa"/>
          </w:tblCellMar>
        </w:tblPrEx>
        <w:trPr>
          <w:trHeight w:val="345" w:hRule="atLeast"/>
        </w:trPr>
        <w:tc>
          <w:tcPr>
            <w:tcW w:w="159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地方主管部门</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杨陵区</w:t>
            </w:r>
            <w:r>
              <w:rPr>
                <w:rFonts w:hint="eastAsia" w:ascii="宋体" w:hAnsi="宋体" w:cs="宋体"/>
                <w:i w:val="0"/>
                <w:color w:val="000000"/>
                <w:kern w:val="0"/>
                <w:sz w:val="18"/>
                <w:szCs w:val="18"/>
                <w:u w:val="none"/>
                <w:lang w:val="en-US" w:eastAsia="zh-CN" w:bidi="ar"/>
              </w:rPr>
              <w:t>人民政府</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杨陵区司法局</w:t>
            </w:r>
          </w:p>
        </w:tc>
      </w:tr>
      <w:tr>
        <w:tblPrEx>
          <w:tblCellMar>
            <w:top w:w="0" w:type="dxa"/>
            <w:left w:w="0" w:type="dxa"/>
            <w:bottom w:w="0" w:type="dxa"/>
            <w:right w:w="0" w:type="dxa"/>
          </w:tblCellMar>
        </w:tblPrEx>
        <w:trPr>
          <w:trHeight w:val="585" w:hRule="atLeast"/>
        </w:trPr>
        <w:tc>
          <w:tcPr>
            <w:tcW w:w="159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 （万元）</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w:t>
            </w:r>
            <w:r>
              <w:rPr>
                <w:rFonts w:hint="eastAsia" w:ascii="宋体" w:hAnsi="宋体" w:cs="宋体"/>
                <w:i w:val="0"/>
                <w:color w:val="000000"/>
                <w:kern w:val="0"/>
                <w:sz w:val="18"/>
                <w:szCs w:val="18"/>
                <w:u w:val="none"/>
                <w:lang w:val="en-US" w:eastAsia="zh-CN" w:bidi="ar"/>
              </w:rPr>
              <w:t>数</w:t>
            </w:r>
            <w:r>
              <w:rPr>
                <w:rFonts w:hint="eastAsia" w:ascii="宋体" w:hAnsi="宋体" w:eastAsia="宋体" w:cs="宋体"/>
                <w:i w:val="0"/>
                <w:color w:val="000000"/>
                <w:kern w:val="0"/>
                <w:sz w:val="18"/>
                <w:szCs w:val="18"/>
                <w:u w:val="none"/>
                <w:lang w:val="en-US" w:eastAsia="zh-CN" w:bidi="ar"/>
              </w:rPr>
              <w:t>（A）</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预算执行率（B/A）</w:t>
            </w:r>
          </w:p>
        </w:tc>
      </w:tr>
      <w:tr>
        <w:tblPrEx>
          <w:tblCellMar>
            <w:top w:w="0" w:type="dxa"/>
            <w:left w:w="0" w:type="dxa"/>
            <w:bottom w:w="0" w:type="dxa"/>
            <w:right w:w="0" w:type="dxa"/>
          </w:tblCellMar>
        </w:tblPrEx>
        <w:trPr>
          <w:trHeight w:val="345" w:hRule="atLeast"/>
        </w:trPr>
        <w:tc>
          <w:tcPr>
            <w:tcW w:w="15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4.21</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4.21</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45" w:hRule="atLeast"/>
        </w:trPr>
        <w:tc>
          <w:tcPr>
            <w:tcW w:w="15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区级财政资金</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4.21</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4.21</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45" w:hRule="atLeast"/>
        </w:trPr>
        <w:tc>
          <w:tcPr>
            <w:tcW w:w="15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年度总体目标 </w:t>
            </w:r>
          </w:p>
        </w:tc>
        <w:tc>
          <w:tcPr>
            <w:tcW w:w="384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年初设定目标</w:t>
            </w:r>
          </w:p>
        </w:tc>
        <w:tc>
          <w:tcPr>
            <w:tcW w:w="48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CellMar>
            <w:top w:w="0" w:type="dxa"/>
            <w:left w:w="0" w:type="dxa"/>
            <w:bottom w:w="0" w:type="dxa"/>
            <w:right w:w="0" w:type="dxa"/>
          </w:tblCellMar>
        </w:tblPrEx>
        <w:trPr>
          <w:trHeight w:val="11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目标1：促进法律援助工作规范化，提高法律援助服务质量和服务水平及办案质量；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目标2：完成上级下达的法律援助目标任务；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目标3：人民群众对司法部门的满意度上升</w:t>
            </w:r>
            <w:r>
              <w:rPr>
                <w:rFonts w:hint="eastAsia" w:ascii="宋体" w:hAnsi="宋体" w:eastAsia="宋体" w:cs="宋体"/>
                <w:color w:val="000000"/>
                <w:kern w:val="0"/>
                <w:sz w:val="22"/>
              </w:rPr>
              <w:t>。</w:t>
            </w:r>
          </w:p>
        </w:tc>
        <w:tc>
          <w:tcPr>
            <w:tcW w:w="48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促进法律援助工作规范化，提高法律援助服务质量</w:t>
            </w:r>
            <w:r>
              <w:rPr>
                <w:rFonts w:hint="eastAsia" w:ascii="宋体" w:hAnsi="宋体" w:eastAsia="宋体" w:cs="宋体"/>
                <w:i w:val="0"/>
                <w:color w:val="000000"/>
                <w:kern w:val="0"/>
                <w:sz w:val="18"/>
                <w:szCs w:val="18"/>
                <w:u w:val="none"/>
                <w:lang w:val="en-US" w:eastAsia="zh-CN" w:bidi="ar"/>
              </w:rPr>
              <w:t>和服务水平及办案质量；</w:t>
            </w:r>
            <w:r>
              <w:rPr>
                <w:rFonts w:hint="eastAsia" w:ascii="宋体" w:hAnsi="宋体" w:cs="宋体"/>
                <w:i w:val="0"/>
                <w:color w:val="000000"/>
                <w:kern w:val="0"/>
                <w:sz w:val="18"/>
                <w:szCs w:val="18"/>
                <w:u w:val="none"/>
                <w:lang w:val="en-US" w:eastAsia="zh-CN" w:bidi="ar"/>
              </w:rPr>
              <w:t>解决困难群众打官司难问题，提高</w:t>
            </w:r>
            <w:r>
              <w:rPr>
                <w:rFonts w:hint="eastAsia" w:ascii="宋体" w:hAnsi="宋体" w:eastAsia="宋体" w:cs="宋体"/>
                <w:i w:val="0"/>
                <w:color w:val="000000"/>
                <w:kern w:val="0"/>
                <w:sz w:val="18"/>
                <w:szCs w:val="18"/>
                <w:u w:val="none"/>
                <w:lang w:val="en-US" w:eastAsia="zh-CN" w:bidi="ar"/>
              </w:rPr>
              <w:t>人民群众对司法部门的满意度</w:t>
            </w:r>
            <w:r>
              <w:rPr>
                <w:rFonts w:hint="eastAsia" w:ascii="宋体" w:hAnsi="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 效 指 标</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三级指标</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全年完成值</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未完成原因和改进措施</w:t>
            </w: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办理援助案件</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≧90件</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127</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受援人数</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≧90人</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提供法律咨询人次</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≧360人次</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发放法律援助卡</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≧40张</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40</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回访受援人比率</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80%以上</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80%以上</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召开受援人座谈会</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1场次</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挽回受援人员损失</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≧60万元</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85</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质最指标</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困难群众法律援助需求</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满足</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满足</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群众法律援助需求是否及时解决</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及时</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及时</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资金支付进度</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结案即结算</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及时</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接听法律服务热线</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及时接听</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及时</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案件补助费</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根据《陕西省法律援助经费管理办法》执行</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default" w:ascii="Courier New" w:hAnsi="Courier New" w:eastAsia="宋体" w:cs="Courier New"/>
                <w:i w:val="0"/>
                <w:color w:val="000000"/>
                <w:sz w:val="17"/>
                <w:szCs w:val="17"/>
                <w:u w:val="none"/>
              </w:rPr>
            </w:pPr>
            <w:r>
              <w:rPr>
                <w:rFonts w:hint="eastAsia" w:ascii="宋体" w:hAnsi="宋体" w:eastAsia="宋体" w:cs="宋体"/>
                <w:i w:val="0"/>
                <w:color w:val="000000"/>
                <w:kern w:val="0"/>
                <w:sz w:val="18"/>
                <w:szCs w:val="18"/>
                <w:u w:val="none"/>
                <w:lang w:val="en-US" w:eastAsia="zh-CN" w:bidi="ar"/>
              </w:rPr>
              <w:t>根据《陕西省法律援助经费管理办法》执行</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处理群众法律援助需求</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逐步</w:t>
            </w:r>
            <w:r>
              <w:rPr>
                <w:rFonts w:hint="eastAsia" w:ascii="宋体" w:hAnsi="宋体" w:eastAsia="宋体" w:cs="宋体"/>
                <w:i w:val="0"/>
                <w:color w:val="000000"/>
                <w:kern w:val="0"/>
                <w:sz w:val="18"/>
                <w:szCs w:val="18"/>
                <w:u w:val="none"/>
                <w:lang w:val="en-US" w:eastAsia="zh-CN" w:bidi="ar"/>
              </w:rPr>
              <w:t>提高</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明显提高</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维护群众合法权益</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逐步</w:t>
            </w:r>
            <w:r>
              <w:rPr>
                <w:rFonts w:hint="eastAsia" w:ascii="宋体" w:hAnsi="宋体" w:eastAsia="宋体" w:cs="宋体"/>
                <w:i w:val="0"/>
                <w:color w:val="000000"/>
                <w:kern w:val="0"/>
                <w:sz w:val="18"/>
                <w:szCs w:val="18"/>
                <w:u w:val="none"/>
                <w:lang w:val="en-US" w:eastAsia="zh-CN" w:bidi="ar"/>
              </w:rPr>
              <w:t>提高</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明显</w:t>
            </w:r>
            <w:r>
              <w:rPr>
                <w:rFonts w:hint="eastAsia" w:ascii="宋体" w:hAnsi="宋体" w:eastAsia="宋体" w:cs="宋体"/>
                <w:i w:val="0"/>
                <w:color w:val="000000"/>
                <w:kern w:val="0"/>
                <w:sz w:val="18"/>
                <w:szCs w:val="18"/>
                <w:u w:val="none"/>
                <w:lang w:val="en-US" w:eastAsia="zh-CN" w:bidi="ar"/>
              </w:rPr>
              <w:t>提高</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业务人员素质、业务能力增强</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明显提高</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逐步提高</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社会影响力</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明显提高</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明显提高</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服务群众满意度</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2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w:t>
            </w:r>
          </w:p>
        </w:tc>
        <w:tc>
          <w:tcPr>
            <w:tcW w:w="86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bl>
    <w:p>
      <w:pPr>
        <w:rPr>
          <w:rFonts w:ascii="楷体" w:hAnsi="楷体" w:eastAsia="楷体" w:cs="楷体"/>
          <w:sz w:val="32"/>
          <w:szCs w:val="32"/>
        </w:rPr>
      </w:pPr>
    </w:p>
    <w:tbl>
      <w:tblPr>
        <w:tblStyle w:val="10"/>
        <w:tblW w:w="9474" w:type="dxa"/>
        <w:tblInd w:w="0" w:type="dxa"/>
        <w:shd w:val="clear" w:color="auto" w:fill="auto"/>
        <w:tblLayout w:type="fixed"/>
        <w:tblCellMar>
          <w:top w:w="0" w:type="dxa"/>
          <w:left w:w="0" w:type="dxa"/>
          <w:bottom w:w="0" w:type="dxa"/>
          <w:right w:w="0" w:type="dxa"/>
        </w:tblCellMar>
      </w:tblPr>
      <w:tblGrid>
        <w:gridCol w:w="795"/>
        <w:gridCol w:w="550"/>
        <w:gridCol w:w="1038"/>
        <w:gridCol w:w="240"/>
        <w:gridCol w:w="1322"/>
        <w:gridCol w:w="1088"/>
        <w:gridCol w:w="1320"/>
        <w:gridCol w:w="1036"/>
        <w:gridCol w:w="1896"/>
        <w:gridCol w:w="189"/>
      </w:tblGrid>
      <w:tr>
        <w:tblPrEx>
          <w:shd w:val="clear" w:color="auto" w:fill="auto"/>
          <w:tblCellMar>
            <w:top w:w="0" w:type="dxa"/>
            <w:left w:w="0" w:type="dxa"/>
            <w:bottom w:w="0" w:type="dxa"/>
            <w:right w:w="0" w:type="dxa"/>
          </w:tblCellMar>
        </w:tblPrEx>
        <w:trPr>
          <w:gridAfter w:val="1"/>
          <w:wAfter w:w="189" w:type="dxa"/>
          <w:trHeight w:val="570" w:hRule="atLeast"/>
        </w:trPr>
        <w:tc>
          <w:tcPr>
            <w:tcW w:w="9285"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注：1.其他资金包括和财政资金共同投入到同一项目的自有资金、社会资金，以及以前年度的结转结余资金等。</w:t>
            </w:r>
          </w:p>
        </w:tc>
      </w:tr>
      <w:tr>
        <w:tblPrEx>
          <w:tblCellMar>
            <w:top w:w="0" w:type="dxa"/>
            <w:left w:w="0" w:type="dxa"/>
            <w:bottom w:w="0" w:type="dxa"/>
            <w:right w:w="0" w:type="dxa"/>
          </w:tblCellMar>
        </w:tblPrEx>
        <w:trPr>
          <w:gridAfter w:val="1"/>
          <w:wAfter w:w="189" w:type="dxa"/>
          <w:trHeight w:val="540" w:hRule="atLeast"/>
        </w:trPr>
        <w:tc>
          <w:tcPr>
            <w:tcW w:w="9285"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2.定量指标，资金使用单位填写本地区实际完成数。财政和主管部门汇总时，对绝对值直接累加计算，相对值按照资金额度加权平均计算。</w:t>
            </w:r>
          </w:p>
        </w:tc>
      </w:tr>
      <w:tr>
        <w:tblPrEx>
          <w:tblCellMar>
            <w:top w:w="0" w:type="dxa"/>
            <w:left w:w="0" w:type="dxa"/>
            <w:bottom w:w="0" w:type="dxa"/>
            <w:right w:w="0" w:type="dxa"/>
          </w:tblCellMar>
        </w:tblPrEx>
        <w:trPr>
          <w:gridAfter w:val="1"/>
          <w:wAfter w:w="189" w:type="dxa"/>
          <w:trHeight w:val="510" w:hRule="atLeast"/>
        </w:trPr>
        <w:tc>
          <w:tcPr>
            <w:tcW w:w="9285"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r>
        <w:tblPrEx>
          <w:tblCellMar>
            <w:top w:w="0" w:type="dxa"/>
            <w:left w:w="0" w:type="dxa"/>
            <w:bottom w:w="0" w:type="dxa"/>
            <w:right w:w="0" w:type="dxa"/>
          </w:tblCellMar>
        </w:tblPrEx>
        <w:trPr>
          <w:trHeight w:val="450" w:hRule="atLeast"/>
        </w:trPr>
        <w:tc>
          <w:tcPr>
            <w:tcW w:w="947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both"/>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cs="宋体"/>
                <w:b/>
                <w:i w:val="0"/>
                <w:color w:val="000000"/>
                <w:kern w:val="0"/>
                <w:sz w:val="36"/>
                <w:szCs w:val="36"/>
                <w:u w:val="none"/>
                <w:lang w:val="en-US" w:eastAsia="zh-CN" w:bidi="ar"/>
              </w:rPr>
              <w:t>区级预算</w:t>
            </w:r>
            <w:r>
              <w:rPr>
                <w:rFonts w:hint="eastAsia" w:ascii="宋体" w:hAnsi="宋体" w:eastAsia="宋体" w:cs="宋体"/>
                <w:b/>
                <w:i w:val="0"/>
                <w:color w:val="000000"/>
                <w:kern w:val="0"/>
                <w:sz w:val="36"/>
                <w:szCs w:val="36"/>
                <w:u w:val="none"/>
                <w:lang w:val="en-US" w:eastAsia="zh-CN" w:bidi="ar"/>
              </w:rPr>
              <w:t>项目绩效目标自评表</w:t>
            </w:r>
          </w:p>
        </w:tc>
      </w:tr>
      <w:tr>
        <w:tblPrEx>
          <w:tblCellMar>
            <w:top w:w="0" w:type="dxa"/>
            <w:left w:w="0" w:type="dxa"/>
            <w:bottom w:w="0" w:type="dxa"/>
            <w:right w:w="0" w:type="dxa"/>
          </w:tblCellMar>
        </w:tblPrEx>
        <w:trPr>
          <w:trHeight w:val="285" w:hRule="atLeast"/>
        </w:trPr>
        <w:tc>
          <w:tcPr>
            <w:tcW w:w="79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Chars="9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5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03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08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2019年度</w:t>
            </w:r>
          </w:p>
        </w:tc>
        <w:tc>
          <w:tcPr>
            <w:tcW w:w="132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03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085"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5"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专项</w:t>
            </w:r>
            <w:r>
              <w:rPr>
                <w:rFonts w:hint="eastAsia" w:ascii="宋体" w:hAnsi="宋体" w:eastAsia="宋体" w:cs="宋体"/>
                <w:i w:val="0"/>
                <w:color w:val="000000"/>
                <w:kern w:val="0"/>
                <w:sz w:val="18"/>
                <w:szCs w:val="18"/>
                <w:u w:val="none"/>
                <w:lang w:val="en-US" w:eastAsia="zh-CN" w:bidi="ar"/>
              </w:rPr>
              <w:t>（项目）名 称</w:t>
            </w:r>
          </w:p>
        </w:tc>
        <w:tc>
          <w:tcPr>
            <w:tcW w:w="709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人民调解工作经费</w:t>
            </w:r>
          </w:p>
        </w:tc>
      </w:tr>
      <w:tr>
        <w:tblPrEx>
          <w:tblCellMar>
            <w:top w:w="0" w:type="dxa"/>
            <w:left w:w="0" w:type="dxa"/>
            <w:bottom w:w="0" w:type="dxa"/>
            <w:right w:w="0" w:type="dxa"/>
          </w:tblCellMar>
        </w:tblPrEx>
        <w:trPr>
          <w:trHeight w:val="345"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地方主管部门</w:t>
            </w: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杨陵区</w:t>
            </w:r>
            <w:r>
              <w:rPr>
                <w:rFonts w:hint="eastAsia" w:ascii="宋体" w:hAnsi="宋体" w:cs="宋体"/>
                <w:i w:val="0"/>
                <w:color w:val="000000"/>
                <w:kern w:val="0"/>
                <w:sz w:val="18"/>
                <w:szCs w:val="18"/>
                <w:u w:val="none"/>
                <w:lang w:val="en-US" w:eastAsia="zh-CN" w:bidi="ar"/>
              </w:rPr>
              <w:t>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12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杨陵区司法局</w:t>
            </w:r>
          </w:p>
        </w:tc>
      </w:tr>
      <w:tr>
        <w:tblPrEx>
          <w:tblCellMar>
            <w:top w:w="0" w:type="dxa"/>
            <w:left w:w="0" w:type="dxa"/>
            <w:bottom w:w="0" w:type="dxa"/>
            <w:right w:w="0" w:type="dxa"/>
          </w:tblCellMar>
        </w:tblPrEx>
        <w:trPr>
          <w:trHeight w:val="585" w:hRule="atLeast"/>
        </w:trPr>
        <w:tc>
          <w:tcPr>
            <w:tcW w:w="23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 （万元）</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w:t>
            </w:r>
            <w:r>
              <w:rPr>
                <w:rFonts w:hint="eastAsia" w:ascii="宋体" w:hAnsi="宋体" w:cs="宋体"/>
                <w:i w:val="0"/>
                <w:color w:val="000000"/>
                <w:kern w:val="0"/>
                <w:sz w:val="18"/>
                <w:szCs w:val="18"/>
                <w:u w:val="none"/>
                <w:lang w:val="en-US" w:eastAsia="zh-CN" w:bidi="ar"/>
              </w:rPr>
              <w:t>数</w:t>
            </w:r>
            <w:r>
              <w:rPr>
                <w:rFonts w:hint="eastAsia" w:ascii="宋体" w:hAnsi="宋体" w:eastAsia="宋体" w:cs="宋体"/>
                <w:i w:val="0"/>
                <w:color w:val="000000"/>
                <w:kern w:val="0"/>
                <w:sz w:val="18"/>
                <w:szCs w:val="18"/>
                <w:u w:val="none"/>
                <w:lang w:val="en-US" w:eastAsia="zh-CN" w:bidi="ar"/>
              </w:rPr>
              <w:t>（A）</w:t>
            </w:r>
          </w:p>
        </w:tc>
        <w:tc>
          <w:tcPr>
            <w:tcW w:w="23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预算执行率（B/A）</w:t>
            </w:r>
          </w:p>
        </w:tc>
      </w:tr>
      <w:tr>
        <w:tblPrEx>
          <w:tblCellMar>
            <w:top w:w="0" w:type="dxa"/>
            <w:left w:w="0" w:type="dxa"/>
            <w:bottom w:w="0" w:type="dxa"/>
            <w:right w:w="0" w:type="dxa"/>
          </w:tblCellMar>
        </w:tblPrEx>
        <w:trPr>
          <w:trHeight w:val="345" w:hRule="atLeast"/>
        </w:trPr>
        <w:tc>
          <w:tcPr>
            <w:tcW w:w="23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16.57</w:t>
            </w:r>
          </w:p>
        </w:tc>
        <w:tc>
          <w:tcPr>
            <w:tcW w:w="23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16.57</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45" w:hRule="atLeast"/>
        </w:trPr>
        <w:tc>
          <w:tcPr>
            <w:tcW w:w="23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区级财政资金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16.57</w:t>
            </w:r>
          </w:p>
        </w:tc>
        <w:tc>
          <w:tcPr>
            <w:tcW w:w="23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16.57</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45" w:hRule="atLeast"/>
        </w:trPr>
        <w:tc>
          <w:tcPr>
            <w:tcW w:w="23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23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年度总体目标 </w:t>
            </w:r>
          </w:p>
        </w:tc>
        <w:tc>
          <w:tcPr>
            <w:tcW w:w="423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年初设定目标</w:t>
            </w:r>
          </w:p>
        </w:tc>
        <w:tc>
          <w:tcPr>
            <w:tcW w:w="444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CellMar>
            <w:top w:w="0" w:type="dxa"/>
            <w:left w:w="0" w:type="dxa"/>
            <w:bottom w:w="0" w:type="dxa"/>
            <w:right w:w="0" w:type="dxa"/>
          </w:tblCellMar>
        </w:tblPrEx>
        <w:trPr>
          <w:trHeight w:val="11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3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扬新时代“枫桥经验”，充分发挥人民调解“第一道防线”的作用，扎实开展矛盾纠纷排查化解，深化平安杨陵创建；提高人民调解员的政治素质和业务能力，不断提升人民调解工作质量和水平，着力提升群众安全感和满意度。</w:t>
            </w:r>
          </w:p>
        </w:tc>
        <w:tc>
          <w:tcPr>
            <w:tcW w:w="444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扬新时代“枫桥经验”，充分发挥人民调解“第一道防线”的作用，扎实开展矛盾纠纷排查化解，深化平安杨陵创建；提高人民调解员的政治素质和业务能力，不断提升人民调解工作质量和水平，着力提升群众安全感和满意度。</w:t>
            </w:r>
          </w:p>
        </w:tc>
      </w:tr>
      <w:tr>
        <w:tblPrEx>
          <w:tblCellMar>
            <w:top w:w="0" w:type="dxa"/>
            <w:left w:w="0" w:type="dxa"/>
            <w:bottom w:w="0" w:type="dxa"/>
            <w:right w:w="0" w:type="dxa"/>
          </w:tblCellMar>
        </w:tblPrEx>
        <w:trPr>
          <w:trHeight w:val="5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 效 指 标</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三级指标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全年完成值</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未完成原因和改进措施</w:t>
            </w: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eastAsia="宋体"/>
              </w:rPr>
            </w:pPr>
            <w:r>
              <w:rPr>
                <w:rFonts w:eastAsia="宋体"/>
              </w:rPr>
              <w:t>办理人民调解案卷数量</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eastAsia="宋体"/>
              </w:rPr>
            </w:pPr>
            <w:r>
              <w:rPr>
                <w:rFonts w:eastAsia="宋体"/>
              </w:rPr>
              <w:t>根据实际需要进行调解</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eastAsia="宋体"/>
                <w:lang w:val="en-US"/>
              </w:rPr>
            </w:pPr>
            <w:r>
              <w:rPr>
                <w:rFonts w:hint="eastAsia" w:eastAsia="宋体"/>
                <w:lang w:val="en-US" w:eastAsia="zh-CN"/>
              </w:rPr>
              <w:t>843件</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eastAsia="宋体"/>
              </w:rPr>
            </w:pPr>
            <w:r>
              <w:rPr>
                <w:rFonts w:eastAsia="宋体"/>
              </w:rPr>
              <w:t>举办人民调解培训班次数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eastAsia="宋体"/>
              </w:rPr>
            </w:pPr>
            <w:r>
              <w:rPr>
                <w:rFonts w:hint="eastAsia" w:eastAsia="宋体"/>
              </w:rPr>
              <w:t>2次</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eastAsia="宋体"/>
                <w:lang w:val="en-US"/>
              </w:rPr>
            </w:pPr>
            <w:r>
              <w:rPr>
                <w:rFonts w:hint="eastAsia" w:eastAsia="宋体"/>
                <w:lang w:val="en-US" w:eastAsia="zh-CN"/>
              </w:rPr>
              <w:t>2次</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人民调解员工资发放人数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83</w:t>
            </w:r>
            <w:r>
              <w:rPr>
                <w:rFonts w:hint="eastAsia" w:eastAsia="宋体"/>
              </w:rPr>
              <w:t>人</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eastAsia="宋体"/>
                <w:lang w:val="en-US"/>
              </w:rPr>
            </w:pPr>
            <w:r>
              <w:rPr>
                <w:rFonts w:hint="eastAsia" w:eastAsia="宋体"/>
                <w:lang w:val="en-US" w:eastAsia="zh-CN"/>
              </w:rPr>
              <w:t>83人</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质最指标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平安创建知晓率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rPr>
              <w:t>≧9</w:t>
            </w:r>
            <w:r>
              <w:rPr>
                <w:rFonts w:hint="eastAsia" w:eastAsia="宋体"/>
                <w:lang w:val="en-US" w:eastAsia="zh-CN"/>
              </w:rPr>
              <w:t>0</w:t>
            </w:r>
            <w:r>
              <w:rPr>
                <w:rFonts w:hint="eastAsia" w:eastAsia="宋体"/>
              </w:rPr>
              <w:t>%</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98.00%</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eastAsia="宋体"/>
              </w:rPr>
            </w:pPr>
            <w:r>
              <w:rPr>
                <w:rFonts w:hint="eastAsia" w:eastAsia="宋体"/>
                <w:lang w:val="en-US" w:eastAsia="zh-CN"/>
              </w:rPr>
              <w:t>调解案件办理时效</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rPr>
              <w:t>及时</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及时</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人民调解员补助（每人每月180元）</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eastAsia="宋体"/>
              </w:rPr>
            </w:pPr>
            <w:r>
              <w:rPr>
                <w:rFonts w:hint="eastAsia" w:eastAsia="宋体"/>
              </w:rPr>
              <w:t>≤</w:t>
            </w:r>
            <w:r>
              <w:rPr>
                <w:rFonts w:hint="eastAsia" w:eastAsia="宋体"/>
                <w:lang w:val="en-US" w:eastAsia="zh-CN"/>
              </w:rPr>
              <w:t>18万元</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default" w:eastAsia="宋体"/>
                <w:lang w:val="en-US" w:eastAsia="zh-CN"/>
              </w:rPr>
            </w:pPr>
            <w:r>
              <w:rPr>
                <w:rFonts w:hint="eastAsia" w:eastAsia="宋体"/>
                <w:lang w:val="en-US" w:eastAsia="zh-CN"/>
              </w:rPr>
              <w:t>16.64万元</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right="598" w:rightChars="285"/>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人民调解案件办案成本</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根据案件难易程度</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eastAsia="宋体"/>
                <w:lang w:val="en-US" w:eastAsia="zh-CN"/>
              </w:rPr>
            </w:pPr>
            <w:r>
              <w:rPr>
                <w:rFonts w:hint="eastAsia" w:eastAsia="宋体"/>
                <w:lang w:val="en-US" w:eastAsia="zh-CN"/>
              </w:rPr>
              <w:t>2.39万元</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人民调解案件办案水平</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逐步提高</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逐步提高</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基层群众矛盾纠纷</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有效化解</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有所提高</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eastAsia="宋体"/>
              </w:rPr>
            </w:pPr>
            <w:r>
              <w:rPr>
                <w:rFonts w:hint="eastAsia" w:eastAsia="宋体"/>
                <w:lang w:val="en-US" w:eastAsia="zh-CN"/>
              </w:rPr>
              <w:t>矛盾纠纷调处水平</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eastAsia="宋体"/>
              </w:rPr>
            </w:pPr>
            <w:r>
              <w:rPr>
                <w:rFonts w:hint="eastAsia" w:eastAsia="宋体"/>
              </w:rPr>
              <w:t>明显提高</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eastAsia="宋体"/>
              </w:rPr>
            </w:pPr>
            <w:r>
              <w:rPr>
                <w:rFonts w:hint="eastAsia" w:eastAsia="宋体"/>
              </w:rPr>
              <w:t>明显提高</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rPr>
              <w:t>服务群众满意度</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rPr>
              <w:t>≧98%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≧98%</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eastAsia="宋体"/>
              </w:rPr>
            </w:pPr>
            <w:r>
              <w:rPr>
                <w:rFonts w:eastAsia="宋体"/>
              </w:rPr>
              <w:t>培训人员满意率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eastAsia="宋体"/>
              </w:rPr>
            </w:pPr>
            <w:r>
              <w:rPr>
                <w:rFonts w:hint="eastAsia" w:eastAsia="宋体"/>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rPr>
            </w:pPr>
            <w:r>
              <w:rPr>
                <w:rFonts w:hint="eastAsia" w:eastAsia="宋体"/>
                <w:lang w:val="en-US" w:eastAsia="zh-CN"/>
              </w:rPr>
              <w:t>97.81%</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w:t>
            </w:r>
          </w:p>
        </w:tc>
        <w:tc>
          <w:tcPr>
            <w:tcW w:w="8679"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bl>
    <w:p>
      <w:pPr>
        <w:rPr>
          <w:rFonts w:ascii="楷体" w:hAnsi="楷体" w:eastAsia="楷体" w:cs="楷体"/>
          <w:sz w:val="32"/>
          <w:szCs w:val="32"/>
        </w:rPr>
      </w:pPr>
    </w:p>
    <w:tbl>
      <w:tblPr>
        <w:tblStyle w:val="10"/>
        <w:tblW w:w="9285" w:type="dxa"/>
        <w:tblInd w:w="0" w:type="dxa"/>
        <w:shd w:val="clear" w:color="auto" w:fill="auto"/>
        <w:tblLayout w:type="fixed"/>
        <w:tblCellMar>
          <w:top w:w="0" w:type="dxa"/>
          <w:left w:w="0" w:type="dxa"/>
          <w:bottom w:w="0" w:type="dxa"/>
          <w:right w:w="0" w:type="dxa"/>
        </w:tblCellMar>
      </w:tblPr>
      <w:tblGrid>
        <w:gridCol w:w="9285"/>
      </w:tblGrid>
      <w:tr>
        <w:tblPrEx>
          <w:shd w:val="clear" w:color="auto" w:fill="auto"/>
          <w:tblCellMar>
            <w:top w:w="0" w:type="dxa"/>
            <w:left w:w="0" w:type="dxa"/>
            <w:bottom w:w="0" w:type="dxa"/>
            <w:right w:w="0" w:type="dxa"/>
          </w:tblCellMar>
        </w:tblPrEx>
        <w:trPr>
          <w:trHeight w:val="570" w:hRule="atLeast"/>
        </w:trPr>
        <w:tc>
          <w:tcPr>
            <w:tcW w:w="92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注：1.其他资金包括和财政资金共同投入到同一项目的自有资金、社会资金，以及以前年度的结转结余资金等。</w:t>
            </w:r>
          </w:p>
        </w:tc>
      </w:tr>
      <w:tr>
        <w:tblPrEx>
          <w:tblCellMar>
            <w:top w:w="0" w:type="dxa"/>
            <w:left w:w="0" w:type="dxa"/>
            <w:bottom w:w="0" w:type="dxa"/>
            <w:right w:w="0" w:type="dxa"/>
          </w:tblCellMar>
        </w:tblPrEx>
        <w:trPr>
          <w:trHeight w:val="540" w:hRule="atLeast"/>
        </w:trPr>
        <w:tc>
          <w:tcPr>
            <w:tcW w:w="92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2.定量指标，资金使用单位填写本地区实际完成数。财政和主管部门汇总时，对绝对值直接累加计算，相对值按照资金额度加权平均计算。</w:t>
            </w:r>
          </w:p>
        </w:tc>
      </w:tr>
      <w:tr>
        <w:tblPrEx>
          <w:tblCellMar>
            <w:top w:w="0" w:type="dxa"/>
            <w:left w:w="0" w:type="dxa"/>
            <w:bottom w:w="0" w:type="dxa"/>
            <w:right w:w="0" w:type="dxa"/>
          </w:tblCellMar>
        </w:tblPrEx>
        <w:trPr>
          <w:trHeight w:val="510" w:hRule="atLeast"/>
        </w:trPr>
        <w:tc>
          <w:tcPr>
            <w:tcW w:w="92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rPr>
          <w:rFonts w:ascii="楷体" w:hAnsi="楷体" w:eastAsia="楷体" w:cs="楷体"/>
          <w:sz w:val="32"/>
          <w:szCs w:val="32"/>
        </w:rPr>
      </w:pPr>
    </w:p>
    <w:tbl>
      <w:tblPr>
        <w:tblStyle w:val="10"/>
        <w:tblW w:w="9258" w:type="dxa"/>
        <w:tblInd w:w="0" w:type="dxa"/>
        <w:shd w:val="clear" w:color="auto" w:fill="auto"/>
        <w:tblLayout w:type="fixed"/>
        <w:tblCellMar>
          <w:top w:w="0" w:type="dxa"/>
          <w:left w:w="0" w:type="dxa"/>
          <w:bottom w:w="0" w:type="dxa"/>
          <w:right w:w="0" w:type="dxa"/>
        </w:tblCellMar>
      </w:tblPr>
      <w:tblGrid>
        <w:gridCol w:w="795"/>
        <w:gridCol w:w="550"/>
        <w:gridCol w:w="1038"/>
        <w:gridCol w:w="240"/>
        <w:gridCol w:w="1322"/>
        <w:gridCol w:w="1088"/>
        <w:gridCol w:w="1320"/>
        <w:gridCol w:w="937"/>
        <w:gridCol w:w="1968"/>
      </w:tblGrid>
      <w:tr>
        <w:tblPrEx>
          <w:shd w:val="clear" w:color="auto" w:fill="auto"/>
          <w:tblCellMar>
            <w:top w:w="0" w:type="dxa"/>
            <w:left w:w="0" w:type="dxa"/>
            <w:bottom w:w="0" w:type="dxa"/>
            <w:right w:w="0" w:type="dxa"/>
          </w:tblCellMar>
        </w:tblPrEx>
        <w:trPr>
          <w:trHeight w:val="450" w:hRule="atLeast"/>
        </w:trPr>
        <w:tc>
          <w:tcPr>
            <w:tcW w:w="925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cs="宋体"/>
                <w:b/>
                <w:i w:val="0"/>
                <w:color w:val="000000"/>
                <w:kern w:val="0"/>
                <w:sz w:val="36"/>
                <w:szCs w:val="36"/>
                <w:u w:val="none"/>
                <w:lang w:val="en-US" w:eastAsia="zh-CN" w:bidi="ar"/>
              </w:rPr>
              <w:t>区级预算</w:t>
            </w:r>
            <w:r>
              <w:rPr>
                <w:rFonts w:hint="eastAsia" w:ascii="宋体" w:hAnsi="宋体" w:eastAsia="宋体" w:cs="宋体"/>
                <w:b/>
                <w:i w:val="0"/>
                <w:color w:val="000000"/>
                <w:kern w:val="0"/>
                <w:sz w:val="36"/>
                <w:szCs w:val="36"/>
                <w:u w:val="none"/>
                <w:lang w:val="en-US" w:eastAsia="zh-CN" w:bidi="ar"/>
              </w:rPr>
              <w:t>项目绩效目标自评表</w:t>
            </w:r>
          </w:p>
        </w:tc>
      </w:tr>
      <w:tr>
        <w:tblPrEx>
          <w:tblCellMar>
            <w:top w:w="0" w:type="dxa"/>
            <w:left w:w="0" w:type="dxa"/>
            <w:bottom w:w="0" w:type="dxa"/>
            <w:right w:w="0" w:type="dxa"/>
          </w:tblCellMar>
        </w:tblPrEx>
        <w:trPr>
          <w:trHeight w:val="285" w:hRule="atLeast"/>
        </w:trPr>
        <w:tc>
          <w:tcPr>
            <w:tcW w:w="79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Chars="9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5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03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08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2019年度</w:t>
            </w:r>
          </w:p>
        </w:tc>
        <w:tc>
          <w:tcPr>
            <w:tcW w:w="132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3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96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5"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专项</w:t>
            </w:r>
            <w:r>
              <w:rPr>
                <w:rFonts w:hint="eastAsia" w:ascii="宋体" w:hAnsi="宋体" w:eastAsia="宋体" w:cs="宋体"/>
                <w:i w:val="0"/>
                <w:color w:val="000000"/>
                <w:kern w:val="0"/>
                <w:sz w:val="18"/>
                <w:szCs w:val="18"/>
                <w:u w:val="none"/>
                <w:lang w:val="en-US" w:eastAsia="zh-CN" w:bidi="ar"/>
              </w:rPr>
              <w:t>（项目）名 称</w:t>
            </w:r>
          </w:p>
        </w:tc>
        <w:tc>
          <w:tcPr>
            <w:tcW w:w="687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社区矫正工作经费</w:t>
            </w:r>
          </w:p>
        </w:tc>
      </w:tr>
      <w:tr>
        <w:tblPrEx>
          <w:tblCellMar>
            <w:top w:w="0" w:type="dxa"/>
            <w:left w:w="0" w:type="dxa"/>
            <w:bottom w:w="0" w:type="dxa"/>
            <w:right w:w="0" w:type="dxa"/>
          </w:tblCellMar>
        </w:tblPrEx>
        <w:trPr>
          <w:trHeight w:val="345"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地方主管部门</w:t>
            </w: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杨陵区</w:t>
            </w:r>
            <w:r>
              <w:rPr>
                <w:rFonts w:hint="eastAsia" w:ascii="宋体" w:hAnsi="宋体" w:cs="宋体"/>
                <w:i w:val="0"/>
                <w:color w:val="000000"/>
                <w:kern w:val="0"/>
                <w:sz w:val="18"/>
                <w:szCs w:val="18"/>
                <w:u w:val="none"/>
                <w:lang w:val="en-US" w:eastAsia="zh-CN" w:bidi="ar"/>
              </w:rPr>
              <w:t>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杨陵区司法局</w:t>
            </w:r>
          </w:p>
        </w:tc>
      </w:tr>
      <w:tr>
        <w:tblPrEx>
          <w:tblCellMar>
            <w:top w:w="0" w:type="dxa"/>
            <w:left w:w="0" w:type="dxa"/>
            <w:bottom w:w="0" w:type="dxa"/>
            <w:right w:w="0" w:type="dxa"/>
          </w:tblCellMar>
        </w:tblPrEx>
        <w:trPr>
          <w:trHeight w:val="585" w:hRule="atLeast"/>
        </w:trPr>
        <w:tc>
          <w:tcPr>
            <w:tcW w:w="23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 （万元）</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w:t>
            </w:r>
            <w:r>
              <w:rPr>
                <w:rFonts w:hint="eastAsia" w:ascii="宋体" w:hAnsi="宋体" w:cs="宋体"/>
                <w:i w:val="0"/>
                <w:color w:val="000000"/>
                <w:kern w:val="0"/>
                <w:sz w:val="18"/>
                <w:szCs w:val="18"/>
                <w:u w:val="none"/>
                <w:lang w:val="en-US" w:eastAsia="zh-CN" w:bidi="ar"/>
              </w:rPr>
              <w:t>数</w:t>
            </w:r>
            <w:r>
              <w:rPr>
                <w:rFonts w:hint="eastAsia" w:ascii="宋体" w:hAnsi="宋体" w:eastAsia="宋体" w:cs="宋体"/>
                <w:i w:val="0"/>
                <w:color w:val="000000"/>
                <w:kern w:val="0"/>
                <w:sz w:val="18"/>
                <w:szCs w:val="18"/>
                <w:u w:val="none"/>
                <w:lang w:val="en-US" w:eastAsia="zh-CN" w:bidi="ar"/>
              </w:rPr>
              <w:t>（A）</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预算执行率（B/A）</w:t>
            </w:r>
          </w:p>
        </w:tc>
      </w:tr>
      <w:tr>
        <w:tblPrEx>
          <w:tblCellMar>
            <w:top w:w="0" w:type="dxa"/>
            <w:left w:w="0" w:type="dxa"/>
            <w:bottom w:w="0" w:type="dxa"/>
            <w:right w:w="0" w:type="dxa"/>
          </w:tblCellMar>
        </w:tblPrEx>
        <w:trPr>
          <w:trHeight w:val="345" w:hRule="atLeast"/>
        </w:trPr>
        <w:tc>
          <w:tcPr>
            <w:tcW w:w="23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2.81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93.67</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45" w:hRule="atLeast"/>
        </w:trPr>
        <w:tc>
          <w:tcPr>
            <w:tcW w:w="23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区级财政资金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2.81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93.67</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45" w:hRule="atLeast"/>
        </w:trPr>
        <w:tc>
          <w:tcPr>
            <w:tcW w:w="23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年度总体目标 </w:t>
            </w:r>
          </w:p>
        </w:tc>
        <w:tc>
          <w:tcPr>
            <w:tcW w:w="423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年初设定目标</w:t>
            </w:r>
          </w:p>
        </w:tc>
        <w:tc>
          <w:tcPr>
            <w:tcW w:w="42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CellMar>
            <w:top w:w="0" w:type="dxa"/>
            <w:left w:w="0" w:type="dxa"/>
            <w:bottom w:w="0" w:type="dxa"/>
            <w:right w:w="0" w:type="dxa"/>
          </w:tblCellMar>
        </w:tblPrEx>
        <w:trPr>
          <w:trHeight w:val="11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3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加强基层社区矫正工作规范化建设</w:t>
            </w:r>
          </w:p>
        </w:tc>
        <w:tc>
          <w:tcPr>
            <w:tcW w:w="42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严格按照《社区矫正实施办法》和《陕西省社区矫正实施细则》规定，开展社区矫正业务工作</w:t>
            </w:r>
          </w:p>
        </w:tc>
      </w:tr>
      <w:tr>
        <w:tblPrEx>
          <w:tblCellMar>
            <w:top w:w="0" w:type="dxa"/>
            <w:left w:w="0" w:type="dxa"/>
            <w:bottom w:w="0" w:type="dxa"/>
            <w:right w:w="0" w:type="dxa"/>
          </w:tblCellMar>
        </w:tblPrEx>
        <w:trPr>
          <w:trHeight w:val="5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 效 指 标</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三级指标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全年完成值</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未完成原因和改进措施</w:t>
            </w: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社区矫正人数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按照法律规定依法受理案件</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质最指标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社区矫正人员再犯罪率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default" w:ascii="Courier New" w:hAnsi="Courier New" w:eastAsia="宋体" w:cs="Courier New"/>
                <w:i w:val="0"/>
                <w:color w:val="000000"/>
                <w:kern w:val="0"/>
                <w:sz w:val="17"/>
                <w:szCs w:val="17"/>
                <w:u w:val="none"/>
                <w:lang w:val="en-US" w:eastAsia="zh-CN" w:bidi="ar"/>
              </w:rPr>
              <w:t>≤0.2%</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default" w:ascii="Courier New" w:hAnsi="Courier New" w:eastAsia="宋体" w:cs="Courier New"/>
                <w:i w:val="0"/>
                <w:color w:val="000000"/>
                <w:kern w:val="0"/>
                <w:sz w:val="17"/>
                <w:szCs w:val="17"/>
                <w:u w:val="none"/>
                <w:lang w:val="en-US" w:eastAsia="zh-CN" w:bidi="ar"/>
              </w:rPr>
              <w:t>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7"/>
                <w:lang w:val="en-US" w:eastAsia="zh-CN" w:bidi="ar"/>
              </w:rPr>
              <w:t>≧</w:t>
            </w:r>
            <w:r>
              <w:rPr>
                <w:rStyle w:val="18"/>
                <w:rFonts w:eastAsia="宋体"/>
                <w:lang w:val="en-US" w:eastAsia="zh-CN" w:bidi="ar"/>
              </w:rPr>
              <w:t>95%</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97.81%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w:t>
            </w:r>
          </w:p>
        </w:tc>
        <w:tc>
          <w:tcPr>
            <w:tcW w:w="8463"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bl>
    <w:p>
      <w:pPr>
        <w:rPr>
          <w:rFonts w:ascii="楷体" w:hAnsi="楷体" w:eastAsia="楷体" w:cs="楷体"/>
          <w:sz w:val="32"/>
          <w:szCs w:val="32"/>
        </w:rPr>
      </w:pPr>
    </w:p>
    <w:tbl>
      <w:tblPr>
        <w:tblStyle w:val="10"/>
        <w:tblW w:w="9285" w:type="dxa"/>
        <w:tblInd w:w="0" w:type="dxa"/>
        <w:shd w:val="clear" w:color="auto" w:fill="auto"/>
        <w:tblLayout w:type="fixed"/>
        <w:tblCellMar>
          <w:top w:w="0" w:type="dxa"/>
          <w:left w:w="0" w:type="dxa"/>
          <w:bottom w:w="0" w:type="dxa"/>
          <w:right w:w="0" w:type="dxa"/>
        </w:tblCellMar>
      </w:tblPr>
      <w:tblGrid>
        <w:gridCol w:w="9285"/>
      </w:tblGrid>
      <w:tr>
        <w:tblPrEx>
          <w:shd w:val="clear" w:color="auto" w:fill="auto"/>
          <w:tblCellMar>
            <w:top w:w="0" w:type="dxa"/>
            <w:left w:w="0" w:type="dxa"/>
            <w:bottom w:w="0" w:type="dxa"/>
            <w:right w:w="0" w:type="dxa"/>
          </w:tblCellMar>
        </w:tblPrEx>
        <w:trPr>
          <w:trHeight w:val="570" w:hRule="atLeast"/>
        </w:trPr>
        <w:tc>
          <w:tcPr>
            <w:tcW w:w="92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注：1.其他资金包括和财政资金共同投入到同一项目的自有资金、社会资金，以及以前年度的结转结余资金等。</w:t>
            </w:r>
          </w:p>
        </w:tc>
      </w:tr>
      <w:tr>
        <w:tblPrEx>
          <w:tblCellMar>
            <w:top w:w="0" w:type="dxa"/>
            <w:left w:w="0" w:type="dxa"/>
            <w:bottom w:w="0" w:type="dxa"/>
            <w:right w:w="0" w:type="dxa"/>
          </w:tblCellMar>
        </w:tblPrEx>
        <w:trPr>
          <w:trHeight w:val="540" w:hRule="atLeast"/>
        </w:trPr>
        <w:tc>
          <w:tcPr>
            <w:tcW w:w="92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2.定量指标，资金使用单位填写本地区实际完成数。财政和主管部门汇总时，对绝对值直接累加计算，相对值按照资金额度加权平均计算。</w:t>
            </w:r>
          </w:p>
        </w:tc>
      </w:tr>
      <w:tr>
        <w:tblPrEx>
          <w:tblCellMar>
            <w:top w:w="0" w:type="dxa"/>
            <w:left w:w="0" w:type="dxa"/>
            <w:bottom w:w="0" w:type="dxa"/>
            <w:right w:w="0" w:type="dxa"/>
          </w:tblCellMar>
        </w:tblPrEx>
        <w:trPr>
          <w:trHeight w:val="510" w:hRule="atLeast"/>
        </w:trPr>
        <w:tc>
          <w:tcPr>
            <w:tcW w:w="92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rPr>
          <w:rFonts w:ascii="楷体" w:hAnsi="楷体" w:eastAsia="楷体" w:cs="楷体"/>
          <w:sz w:val="32"/>
          <w:szCs w:val="32"/>
        </w:rPr>
      </w:pPr>
    </w:p>
    <w:p>
      <w:pPr>
        <w:rPr>
          <w:rFonts w:ascii="楷体" w:hAnsi="楷体" w:eastAsia="楷体" w:cs="楷体"/>
          <w:sz w:val="32"/>
          <w:szCs w:val="32"/>
        </w:rPr>
      </w:pPr>
    </w:p>
    <w:tbl>
      <w:tblPr>
        <w:tblStyle w:val="10"/>
        <w:tblW w:w="9285" w:type="dxa"/>
        <w:tblInd w:w="0" w:type="dxa"/>
        <w:shd w:val="clear" w:color="auto" w:fill="auto"/>
        <w:tblLayout w:type="fixed"/>
        <w:tblCellMar>
          <w:top w:w="0" w:type="dxa"/>
          <w:left w:w="0" w:type="dxa"/>
          <w:bottom w:w="0" w:type="dxa"/>
          <w:right w:w="0" w:type="dxa"/>
        </w:tblCellMar>
      </w:tblPr>
      <w:tblGrid>
        <w:gridCol w:w="795"/>
        <w:gridCol w:w="550"/>
        <w:gridCol w:w="1038"/>
        <w:gridCol w:w="240"/>
        <w:gridCol w:w="1322"/>
        <w:gridCol w:w="1088"/>
        <w:gridCol w:w="1320"/>
        <w:gridCol w:w="937"/>
        <w:gridCol w:w="1968"/>
        <w:gridCol w:w="27"/>
      </w:tblGrid>
      <w:tr>
        <w:tblPrEx>
          <w:shd w:val="clear" w:color="auto" w:fill="auto"/>
          <w:tblCellMar>
            <w:top w:w="0" w:type="dxa"/>
            <w:left w:w="0" w:type="dxa"/>
            <w:bottom w:w="0" w:type="dxa"/>
            <w:right w:w="0" w:type="dxa"/>
          </w:tblCellMar>
        </w:tblPrEx>
        <w:trPr>
          <w:gridAfter w:val="1"/>
          <w:wAfter w:w="27" w:type="dxa"/>
          <w:trHeight w:val="450" w:hRule="atLeast"/>
        </w:trPr>
        <w:tc>
          <w:tcPr>
            <w:tcW w:w="925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cs="宋体"/>
                <w:b/>
                <w:i w:val="0"/>
                <w:color w:val="000000"/>
                <w:kern w:val="0"/>
                <w:sz w:val="36"/>
                <w:szCs w:val="36"/>
                <w:u w:val="none"/>
                <w:lang w:val="en-US" w:eastAsia="zh-CN" w:bidi="ar"/>
              </w:rPr>
              <w:t>区级预算</w:t>
            </w:r>
            <w:r>
              <w:rPr>
                <w:rFonts w:hint="eastAsia" w:ascii="宋体" w:hAnsi="宋体" w:eastAsia="宋体" w:cs="宋体"/>
                <w:b/>
                <w:i w:val="0"/>
                <w:color w:val="000000"/>
                <w:kern w:val="0"/>
                <w:sz w:val="36"/>
                <w:szCs w:val="36"/>
                <w:u w:val="none"/>
                <w:lang w:val="en-US" w:eastAsia="zh-CN" w:bidi="ar"/>
              </w:rPr>
              <w:t>项目绩效目标自评表</w:t>
            </w:r>
          </w:p>
        </w:tc>
      </w:tr>
      <w:tr>
        <w:tblPrEx>
          <w:tblCellMar>
            <w:top w:w="0" w:type="dxa"/>
            <w:left w:w="0" w:type="dxa"/>
            <w:bottom w:w="0" w:type="dxa"/>
            <w:right w:w="0" w:type="dxa"/>
          </w:tblCellMar>
        </w:tblPrEx>
        <w:trPr>
          <w:gridAfter w:val="1"/>
          <w:wAfter w:w="27" w:type="dxa"/>
          <w:trHeight w:val="285" w:hRule="atLeast"/>
        </w:trPr>
        <w:tc>
          <w:tcPr>
            <w:tcW w:w="79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Chars="9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5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03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08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2019年度</w:t>
            </w:r>
          </w:p>
        </w:tc>
        <w:tc>
          <w:tcPr>
            <w:tcW w:w="132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3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96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27" w:type="dxa"/>
          <w:trHeight w:val="345"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专项</w:t>
            </w:r>
            <w:r>
              <w:rPr>
                <w:rFonts w:hint="eastAsia" w:ascii="宋体" w:hAnsi="宋体" w:eastAsia="宋体" w:cs="宋体"/>
                <w:i w:val="0"/>
                <w:color w:val="000000"/>
                <w:kern w:val="0"/>
                <w:sz w:val="18"/>
                <w:szCs w:val="18"/>
                <w:u w:val="none"/>
                <w:lang w:val="en-US" w:eastAsia="zh-CN" w:bidi="ar"/>
              </w:rPr>
              <w:t>（项目）名 称</w:t>
            </w:r>
          </w:p>
        </w:tc>
        <w:tc>
          <w:tcPr>
            <w:tcW w:w="687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新媒体普法宣传（百姓法治宝典）经费</w:t>
            </w:r>
          </w:p>
        </w:tc>
      </w:tr>
      <w:tr>
        <w:tblPrEx>
          <w:tblCellMar>
            <w:top w:w="0" w:type="dxa"/>
            <w:left w:w="0" w:type="dxa"/>
            <w:bottom w:w="0" w:type="dxa"/>
            <w:right w:w="0" w:type="dxa"/>
          </w:tblCellMar>
        </w:tblPrEx>
        <w:trPr>
          <w:gridAfter w:val="1"/>
          <w:wAfter w:w="27" w:type="dxa"/>
          <w:trHeight w:val="345"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地方主管部门</w:t>
            </w: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杨陵区</w:t>
            </w:r>
            <w:r>
              <w:rPr>
                <w:rFonts w:hint="eastAsia" w:ascii="宋体" w:hAnsi="宋体" w:cs="宋体"/>
                <w:i w:val="0"/>
                <w:color w:val="000000"/>
                <w:kern w:val="0"/>
                <w:sz w:val="18"/>
                <w:szCs w:val="18"/>
                <w:u w:val="none"/>
                <w:lang w:val="en-US" w:eastAsia="zh-CN" w:bidi="ar"/>
              </w:rPr>
              <w:t>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杨陵区司法局</w:t>
            </w:r>
          </w:p>
        </w:tc>
      </w:tr>
      <w:tr>
        <w:tblPrEx>
          <w:tblCellMar>
            <w:top w:w="0" w:type="dxa"/>
            <w:left w:w="0" w:type="dxa"/>
            <w:bottom w:w="0" w:type="dxa"/>
            <w:right w:w="0" w:type="dxa"/>
          </w:tblCellMar>
        </w:tblPrEx>
        <w:trPr>
          <w:gridAfter w:val="1"/>
          <w:wAfter w:w="27" w:type="dxa"/>
          <w:trHeight w:val="585" w:hRule="atLeast"/>
        </w:trPr>
        <w:tc>
          <w:tcPr>
            <w:tcW w:w="23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 （万元）</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w:t>
            </w:r>
            <w:r>
              <w:rPr>
                <w:rFonts w:hint="eastAsia" w:ascii="宋体" w:hAnsi="宋体" w:cs="宋体"/>
                <w:i w:val="0"/>
                <w:color w:val="000000"/>
                <w:kern w:val="0"/>
                <w:sz w:val="18"/>
                <w:szCs w:val="18"/>
                <w:u w:val="none"/>
                <w:lang w:val="en-US" w:eastAsia="zh-CN" w:bidi="ar"/>
              </w:rPr>
              <w:t>数</w:t>
            </w:r>
            <w:r>
              <w:rPr>
                <w:rFonts w:hint="eastAsia" w:ascii="宋体" w:hAnsi="宋体" w:eastAsia="宋体" w:cs="宋体"/>
                <w:i w:val="0"/>
                <w:color w:val="000000"/>
                <w:kern w:val="0"/>
                <w:sz w:val="18"/>
                <w:szCs w:val="18"/>
                <w:u w:val="none"/>
                <w:lang w:val="en-US" w:eastAsia="zh-CN" w:bidi="ar"/>
              </w:rPr>
              <w:t>（A）</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预算执行率（B/A）</w:t>
            </w:r>
          </w:p>
        </w:tc>
      </w:tr>
      <w:tr>
        <w:tblPrEx>
          <w:tblCellMar>
            <w:top w:w="0" w:type="dxa"/>
            <w:left w:w="0" w:type="dxa"/>
            <w:bottom w:w="0" w:type="dxa"/>
            <w:right w:w="0" w:type="dxa"/>
          </w:tblCellMar>
        </w:tblPrEx>
        <w:trPr>
          <w:gridAfter w:val="1"/>
          <w:wAfter w:w="27" w:type="dxa"/>
          <w:trHeight w:val="345" w:hRule="atLeast"/>
        </w:trPr>
        <w:tc>
          <w:tcPr>
            <w:tcW w:w="23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7" w:type="dxa"/>
          <w:trHeight w:val="345" w:hRule="atLeast"/>
        </w:trPr>
        <w:tc>
          <w:tcPr>
            <w:tcW w:w="23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区级财政资金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7" w:type="dxa"/>
          <w:trHeight w:val="345" w:hRule="atLeast"/>
        </w:trPr>
        <w:tc>
          <w:tcPr>
            <w:tcW w:w="23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27" w:type="dxa"/>
          <w:trHeight w:val="34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年度总体目标 </w:t>
            </w:r>
          </w:p>
        </w:tc>
        <w:tc>
          <w:tcPr>
            <w:tcW w:w="423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年初设定目标</w:t>
            </w:r>
          </w:p>
        </w:tc>
        <w:tc>
          <w:tcPr>
            <w:tcW w:w="42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CellMar>
            <w:top w:w="0" w:type="dxa"/>
            <w:left w:w="0" w:type="dxa"/>
            <w:bottom w:w="0" w:type="dxa"/>
            <w:right w:w="0" w:type="dxa"/>
          </w:tblCellMar>
        </w:tblPrEx>
        <w:trPr>
          <w:gridAfter w:val="1"/>
          <w:wAfter w:w="27" w:type="dxa"/>
          <w:trHeight w:val="11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3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立足“三个杨凌”建设工作大局，强化改革思维和法治措施，整合资源、主动作为，充分发挥法治宣传、法律服务、法律保障职能，深入推进“法治杨陵”建设。</w:t>
            </w:r>
          </w:p>
        </w:tc>
        <w:tc>
          <w:tcPr>
            <w:tcW w:w="42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认真落实经费保障政策，充分发挥法治宣传、法律服务、法律保障职能作用，深入推进“法治杨陵”建设，较好地完成了全年各项目标任务。</w:t>
            </w:r>
          </w:p>
        </w:tc>
      </w:tr>
      <w:tr>
        <w:tblPrEx>
          <w:tblCellMar>
            <w:top w:w="0" w:type="dxa"/>
            <w:left w:w="0" w:type="dxa"/>
            <w:bottom w:w="0" w:type="dxa"/>
            <w:right w:w="0" w:type="dxa"/>
          </w:tblCellMar>
        </w:tblPrEx>
        <w:trPr>
          <w:gridAfter w:val="1"/>
          <w:wAfter w:w="27" w:type="dxa"/>
          <w:trHeight w:val="5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 效 指 标</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三级指标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全年完成值</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未完成原因和改进措施</w:t>
            </w:r>
          </w:p>
        </w:tc>
      </w:tr>
      <w:tr>
        <w:tblPrEx>
          <w:tblCellMar>
            <w:top w:w="0" w:type="dxa"/>
            <w:left w:w="0" w:type="dxa"/>
            <w:bottom w:w="0" w:type="dxa"/>
            <w:right w:w="0" w:type="dxa"/>
          </w:tblCellMar>
        </w:tblPrEx>
        <w:trPr>
          <w:gridAfter w:val="1"/>
          <w:wAfter w:w="27" w:type="dxa"/>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开展法治宣传教育活动次数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27" w:type="dxa"/>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法治宣传活动参加人数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27" w:type="dxa"/>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法治节目展播受众人数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27" w:type="dxa"/>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质最指标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普法宣传覆盖面</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7"/>
                <w:lang w:val="en-US" w:eastAsia="zh-CN" w:bidi="ar"/>
              </w:rPr>
              <w:t>≧</w:t>
            </w:r>
            <w:r>
              <w:rPr>
                <w:rStyle w:val="18"/>
                <w:rFonts w:eastAsia="宋体"/>
                <w:lang w:val="en-US" w:eastAsia="zh-CN" w:bidi="ar"/>
              </w:rPr>
              <w:t>95%</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27" w:type="dxa"/>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人民群众法治化水平</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逐步提高</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明显提高</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27" w:type="dxa"/>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普法宣传水平</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明显提高</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明显提高</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27" w:type="dxa"/>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考生满意率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7"/>
                <w:lang w:val="en-US" w:eastAsia="zh-CN" w:bidi="ar"/>
              </w:rPr>
              <w:t>≧</w:t>
            </w:r>
            <w:r>
              <w:rPr>
                <w:rStyle w:val="18"/>
                <w:rFonts w:eastAsia="宋体"/>
                <w:lang w:val="en-US" w:eastAsia="zh-CN" w:bidi="ar"/>
              </w:rPr>
              <w:t>95%</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27" w:type="dxa"/>
          <w:trHeight w:val="34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97.81%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27" w:type="dxa"/>
          <w:trHeight w:val="34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w:t>
            </w:r>
          </w:p>
        </w:tc>
        <w:tc>
          <w:tcPr>
            <w:tcW w:w="8463"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CellMar>
            <w:top w:w="0" w:type="dxa"/>
            <w:left w:w="0" w:type="dxa"/>
            <w:bottom w:w="0" w:type="dxa"/>
            <w:right w:w="0" w:type="dxa"/>
          </w:tblCellMar>
        </w:tblPrEx>
        <w:trPr>
          <w:trHeight w:val="570" w:hRule="atLeast"/>
        </w:trPr>
        <w:tc>
          <w:tcPr>
            <w:tcW w:w="9285"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注：1.其他资金包括和财政资金共同投入到同一项目的自有资金、社会资金，以及以前年度的结转结余资金等。</w:t>
            </w:r>
          </w:p>
        </w:tc>
      </w:tr>
      <w:tr>
        <w:tblPrEx>
          <w:tblCellMar>
            <w:top w:w="0" w:type="dxa"/>
            <w:left w:w="0" w:type="dxa"/>
            <w:bottom w:w="0" w:type="dxa"/>
            <w:right w:w="0" w:type="dxa"/>
          </w:tblCellMar>
        </w:tblPrEx>
        <w:trPr>
          <w:trHeight w:val="540" w:hRule="atLeast"/>
        </w:trPr>
        <w:tc>
          <w:tcPr>
            <w:tcW w:w="9285"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2.定量指标，资金使用单位填写本地区实际完成数。财政和主管部门汇总时，对绝对值直接累加计算，相对值按照资金额度加权平均计算。</w:t>
            </w:r>
          </w:p>
        </w:tc>
      </w:tr>
      <w:tr>
        <w:tblPrEx>
          <w:tblCellMar>
            <w:top w:w="0" w:type="dxa"/>
            <w:left w:w="0" w:type="dxa"/>
            <w:bottom w:w="0" w:type="dxa"/>
            <w:right w:w="0" w:type="dxa"/>
          </w:tblCellMar>
        </w:tblPrEx>
        <w:trPr>
          <w:trHeight w:val="510" w:hRule="atLeast"/>
        </w:trPr>
        <w:tc>
          <w:tcPr>
            <w:tcW w:w="9285"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rPr>
          <w:rFonts w:ascii="楷体" w:hAnsi="楷体" w:eastAsia="楷体" w:cs="楷体"/>
          <w:sz w:val="32"/>
          <w:szCs w:val="32"/>
        </w:rPr>
        <w:sectPr>
          <w:pgSz w:w="11906" w:h="16838"/>
          <w:pgMar w:top="2098" w:right="1474" w:bottom="1985" w:left="1588" w:header="851" w:footer="992" w:gutter="0"/>
          <w:cols w:space="0" w:num="1"/>
          <w:docGrid w:type="lines" w:linePitch="315" w:charSpace="0"/>
        </w:sectPr>
      </w:pPr>
    </w:p>
    <w:p>
      <w:pPr>
        <w:widowControl/>
        <w:spacing w:line="400" w:lineRule="exact"/>
        <w:jc w:val="center"/>
        <w:rPr>
          <w:rFonts w:ascii="楷体" w:hAnsi="楷体" w:eastAsia="楷体" w:cs="楷体"/>
          <w:sz w:val="36"/>
          <w:szCs w:val="36"/>
        </w:rPr>
      </w:pPr>
      <w:r>
        <w:rPr>
          <w:rFonts w:hint="eastAsia" w:ascii="楷体" w:hAnsi="楷体" w:eastAsia="楷体" w:cs="楷体"/>
          <w:sz w:val="36"/>
          <w:szCs w:val="36"/>
        </w:rPr>
        <w:t>部门整体支出绩效自评表</w:t>
      </w:r>
    </w:p>
    <w:p>
      <w:pPr>
        <w:widowControl/>
        <w:spacing w:line="400" w:lineRule="exact"/>
        <w:jc w:val="center"/>
        <w:rPr>
          <w:rFonts w:ascii="楷体" w:hAnsi="楷体" w:eastAsia="楷体" w:cs="楷体"/>
          <w:sz w:val="24"/>
        </w:rPr>
      </w:pPr>
      <w:r>
        <w:rPr>
          <w:rFonts w:hint="eastAsia" w:ascii="楷体" w:hAnsi="楷体" w:eastAsia="楷体" w:cs="楷体"/>
          <w:sz w:val="24"/>
        </w:rPr>
        <w:t>（</w:t>
      </w:r>
      <w:r>
        <w:rPr>
          <w:rFonts w:ascii="楷体" w:hAnsi="楷体" w:eastAsia="楷体" w:cs="楷体"/>
          <w:sz w:val="24"/>
        </w:rPr>
        <w:t>2019</w:t>
      </w:r>
      <w:r>
        <w:rPr>
          <w:rFonts w:hint="eastAsia" w:ascii="楷体" w:hAnsi="楷体" w:eastAsia="楷体" w:cs="楷体"/>
          <w:sz w:val="24"/>
        </w:rPr>
        <w:t>年度）</w:t>
      </w:r>
    </w:p>
    <w:tbl>
      <w:tblPr>
        <w:tblStyle w:val="10"/>
        <w:tblW w:w="15379" w:type="dxa"/>
        <w:tblInd w:w="-1096" w:type="dxa"/>
        <w:tblLayout w:type="autofit"/>
        <w:tblCellMar>
          <w:top w:w="0" w:type="dxa"/>
          <w:left w:w="108" w:type="dxa"/>
          <w:bottom w:w="0" w:type="dxa"/>
          <w:right w:w="108" w:type="dxa"/>
        </w:tblCellMar>
      </w:tblPr>
      <w:tblGrid>
        <w:gridCol w:w="637"/>
        <w:gridCol w:w="709"/>
        <w:gridCol w:w="709"/>
        <w:gridCol w:w="589"/>
        <w:gridCol w:w="1962"/>
        <w:gridCol w:w="3318"/>
        <w:gridCol w:w="1916"/>
        <w:gridCol w:w="814"/>
        <w:gridCol w:w="189"/>
        <w:gridCol w:w="546"/>
        <w:gridCol w:w="305"/>
        <w:gridCol w:w="866"/>
        <w:gridCol w:w="1544"/>
        <w:gridCol w:w="1275"/>
      </w:tblGrid>
      <w:tr>
        <w:tblPrEx>
          <w:tblCellMar>
            <w:top w:w="0" w:type="dxa"/>
            <w:left w:w="108" w:type="dxa"/>
            <w:bottom w:w="0" w:type="dxa"/>
            <w:right w:w="108" w:type="dxa"/>
          </w:tblCellMar>
        </w:tblPrEx>
        <w:trPr>
          <w:trHeight w:val="450" w:hRule="atLeast"/>
        </w:trPr>
        <w:tc>
          <w:tcPr>
            <w:tcW w:w="4606" w:type="dxa"/>
            <w:gridSpan w:val="5"/>
            <w:tcBorders>
              <w:top w:val="nil"/>
              <w:left w:val="nil"/>
              <w:bottom w:val="nil"/>
              <w:right w:val="nil"/>
            </w:tcBorders>
            <w:vAlign w:val="center"/>
          </w:tcPr>
          <w:p>
            <w:pPr>
              <w:widowControl/>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填报单位</w:t>
            </w:r>
            <w:r>
              <w:rPr>
                <w:rFonts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杨陵区司法局</w:t>
            </w:r>
          </w:p>
        </w:tc>
        <w:tc>
          <w:tcPr>
            <w:tcW w:w="3318" w:type="dxa"/>
            <w:tcBorders>
              <w:top w:val="nil"/>
              <w:left w:val="nil"/>
              <w:bottom w:val="nil"/>
              <w:right w:val="nil"/>
            </w:tcBorders>
            <w:vAlign w:val="center"/>
          </w:tcPr>
          <w:p>
            <w:pPr>
              <w:widowControl/>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自评得分：</w:t>
            </w:r>
            <w:r>
              <w:rPr>
                <w:rFonts w:hint="eastAsia" w:ascii="仿宋_GB2312" w:hAnsi="宋体" w:eastAsia="仿宋_GB2312" w:cs="宋体"/>
                <w:kern w:val="0"/>
                <w:sz w:val="18"/>
                <w:szCs w:val="18"/>
                <w:lang w:val="en-US" w:eastAsia="zh-CN"/>
              </w:rPr>
              <w:t>92</w:t>
            </w:r>
          </w:p>
        </w:tc>
        <w:tc>
          <w:tcPr>
            <w:tcW w:w="1916" w:type="dxa"/>
            <w:tcBorders>
              <w:top w:val="nil"/>
              <w:left w:val="nil"/>
              <w:bottom w:val="nil"/>
              <w:right w:val="nil"/>
            </w:tcBorders>
            <w:vAlign w:val="center"/>
          </w:tcPr>
          <w:p>
            <w:pPr>
              <w:widowControl/>
              <w:jc w:val="center"/>
              <w:rPr>
                <w:rFonts w:ascii="仿宋_GB2312" w:hAnsi="宋体" w:eastAsia="仿宋_GB2312" w:cs="宋体"/>
                <w:kern w:val="0"/>
                <w:sz w:val="18"/>
                <w:szCs w:val="18"/>
              </w:rPr>
            </w:pPr>
          </w:p>
        </w:tc>
        <w:tc>
          <w:tcPr>
            <w:tcW w:w="814" w:type="dxa"/>
            <w:tcBorders>
              <w:top w:val="nil"/>
              <w:left w:val="nil"/>
              <w:bottom w:val="nil"/>
              <w:right w:val="nil"/>
            </w:tcBorders>
            <w:vAlign w:val="center"/>
          </w:tcPr>
          <w:p>
            <w:pPr>
              <w:widowControl/>
              <w:jc w:val="center"/>
              <w:rPr>
                <w:rFonts w:ascii="仿宋_GB2312" w:hAnsi="宋体" w:eastAsia="仿宋_GB2312" w:cs="宋体"/>
                <w:kern w:val="0"/>
                <w:sz w:val="18"/>
                <w:szCs w:val="18"/>
              </w:rPr>
            </w:pPr>
          </w:p>
        </w:tc>
        <w:tc>
          <w:tcPr>
            <w:tcW w:w="735" w:type="dxa"/>
            <w:gridSpan w:val="2"/>
            <w:tcBorders>
              <w:top w:val="nil"/>
              <w:left w:val="nil"/>
              <w:bottom w:val="nil"/>
              <w:right w:val="nil"/>
            </w:tcBorders>
            <w:vAlign w:val="center"/>
          </w:tcPr>
          <w:p>
            <w:pPr>
              <w:widowControl/>
              <w:jc w:val="center"/>
              <w:rPr>
                <w:rFonts w:ascii="仿宋_GB2312" w:hAnsi="宋体" w:eastAsia="仿宋_GB2312" w:cs="宋体"/>
                <w:kern w:val="0"/>
                <w:sz w:val="18"/>
                <w:szCs w:val="18"/>
              </w:rPr>
            </w:pPr>
          </w:p>
        </w:tc>
        <w:tc>
          <w:tcPr>
            <w:tcW w:w="1171" w:type="dxa"/>
            <w:gridSpan w:val="2"/>
            <w:tcBorders>
              <w:top w:val="nil"/>
              <w:left w:val="nil"/>
              <w:bottom w:val="nil"/>
              <w:right w:val="nil"/>
            </w:tcBorders>
            <w:vAlign w:val="center"/>
          </w:tcPr>
          <w:p>
            <w:pPr>
              <w:widowControl/>
              <w:jc w:val="center"/>
              <w:rPr>
                <w:rFonts w:ascii="仿宋_GB2312" w:hAnsi="宋体" w:eastAsia="仿宋_GB2312" w:cs="宋体"/>
                <w:kern w:val="0"/>
                <w:sz w:val="18"/>
                <w:szCs w:val="18"/>
              </w:rPr>
            </w:pPr>
          </w:p>
        </w:tc>
        <w:tc>
          <w:tcPr>
            <w:tcW w:w="1544" w:type="dxa"/>
            <w:tcBorders>
              <w:top w:val="nil"/>
              <w:left w:val="nil"/>
              <w:bottom w:val="nil"/>
              <w:right w:val="nil"/>
            </w:tcBorders>
            <w:noWrap/>
            <w:vAlign w:val="center"/>
          </w:tcPr>
          <w:p>
            <w:pPr>
              <w:widowControl/>
              <w:jc w:val="left"/>
              <w:rPr>
                <w:rFonts w:ascii="宋体" w:cs="宋体"/>
                <w:kern w:val="0"/>
                <w:sz w:val="18"/>
                <w:szCs w:val="18"/>
              </w:rPr>
            </w:pPr>
          </w:p>
        </w:tc>
        <w:tc>
          <w:tcPr>
            <w:tcW w:w="1275" w:type="dxa"/>
            <w:tcBorders>
              <w:top w:val="nil"/>
              <w:left w:val="nil"/>
              <w:bottom w:val="nil"/>
              <w:right w:val="nil"/>
            </w:tcBorders>
            <w:noWrap/>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427" w:hRule="atLeast"/>
        </w:trPr>
        <w:tc>
          <w:tcPr>
            <w:tcW w:w="460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（一）简要概述部门职能与职责。</w:t>
            </w:r>
          </w:p>
        </w:tc>
        <w:tc>
          <w:tcPr>
            <w:tcW w:w="10773" w:type="dxa"/>
            <w:gridSpan w:val="9"/>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贯彻执行国家和省司法行政工作的方针、政策和法律、法规，开展执法情况调查研究，制定司法行政规范性文件，并监督实施；2、制定全区普及法律常识规划并组织实施，指导各行业、各部门、各基层单位开展依法治理工作，承担法制宣传教育工作，制定依法治区规划；3、指导、监督律师和法律工作者工作、社会法律服务机构、“148”法律服务所业务工作及司法鉴定工作；4、落实社区矫正工作的各项决策和部署。指导、管理社区矫正工作；指导刑满释放人员的安置帮教工作。5、指导、监督公证、法律援助业务工作。6、指导、监督司法所人民调解、法制宣传、法律服务、社区矫正、安置帮教等各项工作，参与社会治安综合治理工作；7、负责司法行政系统的物资及装备工作；8完成区委、区政府及上级部门交办的其他工作。</w:t>
            </w:r>
          </w:p>
        </w:tc>
      </w:tr>
      <w:tr>
        <w:tblPrEx>
          <w:tblCellMar>
            <w:top w:w="0" w:type="dxa"/>
            <w:left w:w="108" w:type="dxa"/>
            <w:bottom w:w="0" w:type="dxa"/>
            <w:right w:w="108" w:type="dxa"/>
          </w:tblCellMar>
        </w:tblPrEx>
        <w:trPr>
          <w:trHeight w:val="573" w:hRule="atLeast"/>
        </w:trPr>
        <w:tc>
          <w:tcPr>
            <w:tcW w:w="460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（二）简要概述部门支出情况，按活动内容分类。</w:t>
            </w:r>
          </w:p>
        </w:tc>
        <w:tc>
          <w:tcPr>
            <w:tcW w:w="10773" w:type="dxa"/>
            <w:gridSpan w:val="9"/>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2019年全年支出473.33万元，其中基本支出319.24万元、项目支出154.09万元。</w:t>
            </w:r>
          </w:p>
        </w:tc>
      </w:tr>
      <w:tr>
        <w:tblPrEx>
          <w:tblCellMar>
            <w:top w:w="0" w:type="dxa"/>
            <w:left w:w="108" w:type="dxa"/>
            <w:bottom w:w="0" w:type="dxa"/>
            <w:right w:w="108" w:type="dxa"/>
          </w:tblCellMar>
        </w:tblPrEx>
        <w:trPr>
          <w:trHeight w:val="213" w:hRule="atLeast"/>
        </w:trPr>
        <w:tc>
          <w:tcPr>
            <w:tcW w:w="460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（三）简要概述当年区委区政府下达的重点工作。</w:t>
            </w:r>
          </w:p>
        </w:tc>
        <w:tc>
          <w:tcPr>
            <w:tcW w:w="10773" w:type="dxa"/>
            <w:gridSpan w:val="9"/>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健全机构，扎实开展全面依法治区工作</w:t>
            </w:r>
            <w:r>
              <w:rPr>
                <w:rFonts w:hint="eastAsia" w:ascii="仿宋_GB2312" w:hAnsi="宋体" w:eastAsia="仿宋_GB2312" w:cs="宋体"/>
                <w:kern w:val="0"/>
                <w:sz w:val="20"/>
                <w:szCs w:val="20"/>
                <w:lang w:eastAsia="zh-CN"/>
              </w:rPr>
              <w:t>，</w:t>
            </w:r>
            <w:r>
              <w:rPr>
                <w:rFonts w:hint="eastAsia" w:ascii="仿宋_GB2312" w:hAnsi="宋体" w:eastAsia="仿宋_GB2312" w:cs="宋体"/>
                <w:kern w:val="0"/>
                <w:sz w:val="20"/>
                <w:szCs w:val="20"/>
              </w:rPr>
              <w:t>创新开展普法宣传，营造和谐稳定的法治环境；发挥司法行政业务职能，履行司法行政服务保障作用；全面推进依法行政，加强法治政府建设；扎实开展扫黑除恶专项斗争及无黑无恶创建活动。　</w:t>
            </w:r>
          </w:p>
        </w:tc>
      </w:tr>
      <w:tr>
        <w:tblPrEx>
          <w:tblCellMar>
            <w:top w:w="0" w:type="dxa"/>
            <w:left w:w="108" w:type="dxa"/>
            <w:bottom w:w="0" w:type="dxa"/>
            <w:right w:w="108" w:type="dxa"/>
          </w:tblCellMar>
        </w:tblPrEx>
        <w:trPr>
          <w:trHeight w:val="590" w:hRule="atLeast"/>
        </w:trPr>
        <w:tc>
          <w:tcPr>
            <w:tcW w:w="637"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709"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二级指标</w:t>
            </w:r>
          </w:p>
        </w:tc>
        <w:tc>
          <w:tcPr>
            <w:tcW w:w="709"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589"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1962"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3318"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1916"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1003" w:type="dxa"/>
            <w:gridSpan w:val="2"/>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851" w:type="dxa"/>
            <w:gridSpan w:val="2"/>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866"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CellMar>
            <w:top w:w="0" w:type="dxa"/>
            <w:left w:w="108" w:type="dxa"/>
            <w:bottom w:w="0" w:type="dxa"/>
            <w:right w:w="108" w:type="dxa"/>
          </w:tblCellMar>
        </w:tblPrEx>
        <w:trPr>
          <w:trHeight w:val="3218" w:hRule="atLeast"/>
        </w:trPr>
        <w:tc>
          <w:tcPr>
            <w:tcW w:w="637" w:type="dxa"/>
            <w:vMerge w:val="restart"/>
            <w:tcBorders>
              <w:top w:val="nil"/>
              <w:left w:val="single" w:color="auto" w:sz="4" w:space="0"/>
              <w:bottom w:val="single" w:color="auto" w:sz="4" w:space="0"/>
              <w:right w:val="single" w:color="auto" w:sz="4" w:space="0"/>
            </w:tcBorders>
            <w:noWrap/>
            <w:textDirection w:val="tbRlV"/>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投入</w:t>
            </w:r>
          </w:p>
        </w:tc>
        <w:tc>
          <w:tcPr>
            <w:tcW w:w="709"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预算执行（25分）</w:t>
            </w: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完成率</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（10分）</w:t>
            </w:r>
          </w:p>
        </w:tc>
        <w:tc>
          <w:tcPr>
            <w:tcW w:w="58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962" w:type="dxa"/>
            <w:tcBorders>
              <w:top w:val="nil"/>
              <w:left w:val="nil"/>
              <w:bottom w:val="single" w:color="auto" w:sz="4" w:space="0"/>
              <w:right w:val="single" w:color="auto" w:sz="4" w:space="0"/>
            </w:tcBorders>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预算完成率=（预算完成数/预算数）×100%，用以反映和考核部门（单位）预算完成程度。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预算完成数：部门（单位）本年度实际完成的预算数。</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预算数：财政部门批复的本年度部门（单位）预算数。</w:t>
            </w:r>
          </w:p>
        </w:tc>
        <w:tc>
          <w:tcPr>
            <w:tcW w:w="33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预算完成率＝100%的，得10分。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预算完成率≥95%的，得9分。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预算完成率在90%（含）和95%之间，得8分。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预算完成率在85%（含）和90%之间，得7分。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预算完成率在80%（含）和85%之间，得6分。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预算完成率在70%（含）和80%之间，得4分。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预算完成率＜70%的，得0分。</w:t>
            </w:r>
          </w:p>
        </w:tc>
        <w:tc>
          <w:tcPr>
            <w:tcW w:w="191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401.99/403.21  获取方式：2019年决算数据</w:t>
            </w:r>
          </w:p>
        </w:tc>
        <w:tc>
          <w:tcPr>
            <w:tcW w:w="1003"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85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99.7</w:t>
            </w:r>
            <w:r>
              <w:rPr>
                <w:rFonts w:hint="eastAsia" w:ascii="仿宋_GB2312" w:hAnsi="宋体" w:eastAsia="仿宋_GB2312" w:cs="宋体"/>
                <w:kern w:val="0"/>
                <w:sz w:val="20"/>
                <w:szCs w:val="20"/>
              </w:rPr>
              <w:t>%</w:t>
            </w:r>
          </w:p>
        </w:tc>
        <w:tc>
          <w:tcPr>
            <w:tcW w:w="8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9</w:t>
            </w:r>
          </w:p>
        </w:tc>
        <w:tc>
          <w:tcPr>
            <w:tcW w:w="154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p>
        </w:tc>
        <w:tc>
          <w:tcPr>
            <w:tcW w:w="1275"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p>
        </w:tc>
      </w:tr>
      <w:tr>
        <w:tblPrEx>
          <w:tblCellMar>
            <w:top w:w="0" w:type="dxa"/>
            <w:left w:w="108" w:type="dxa"/>
            <w:bottom w:w="0" w:type="dxa"/>
            <w:right w:w="108" w:type="dxa"/>
          </w:tblCellMar>
        </w:tblPrEx>
        <w:trPr>
          <w:trHeight w:val="3060" w:hRule="atLeast"/>
        </w:trPr>
        <w:tc>
          <w:tcPr>
            <w:tcW w:w="637"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（5分）</w:t>
            </w:r>
          </w:p>
        </w:tc>
        <w:tc>
          <w:tcPr>
            <w:tcW w:w="58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96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预算调整率=（预算调整数/预算数）×100%，用以反映和考核部门（单位）预算的调整程度。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预算调整数：部门（单位）在本年度内涉及预算的追加、追减或结构调整的资金总和（因落实国家政策、发生不可抗力、上级部门或本级党委政府临时交办而产生的调整除外）。</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预算包括一般公共预算与政府性基金预算。</w:t>
            </w:r>
          </w:p>
        </w:tc>
        <w:tc>
          <w:tcPr>
            <w:tcW w:w="33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预算调整率绝对值≤5%，得5分。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预算调整率绝对值＞5%的，每增加0.1个百分点扣0.1分，扣完为止。</w:t>
            </w:r>
          </w:p>
        </w:tc>
        <w:tc>
          <w:tcPr>
            <w:tcW w:w="191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（403.21-352.7）/352.74  获取方式：2019年决算数据</w:t>
            </w:r>
          </w:p>
        </w:tc>
        <w:tc>
          <w:tcPr>
            <w:tcW w:w="1003"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851" w:type="dxa"/>
            <w:gridSpan w:val="2"/>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14.3%</w:t>
            </w:r>
          </w:p>
        </w:tc>
        <w:tc>
          <w:tcPr>
            <w:tcW w:w="8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0</w:t>
            </w:r>
          </w:p>
        </w:tc>
        <w:tc>
          <w:tcPr>
            <w:tcW w:w="154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原因：中省政法转移支付资金未纳入年初预算</w:t>
            </w:r>
          </w:p>
        </w:tc>
        <w:tc>
          <w:tcPr>
            <w:tcW w:w="1275"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p>
        </w:tc>
      </w:tr>
    </w:tbl>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tbl>
      <w:tblPr>
        <w:tblStyle w:val="10"/>
        <w:tblW w:w="15379" w:type="dxa"/>
        <w:tblInd w:w="-1096" w:type="dxa"/>
        <w:tblLayout w:type="autofit"/>
        <w:tblCellMar>
          <w:top w:w="0" w:type="dxa"/>
          <w:left w:w="108" w:type="dxa"/>
          <w:bottom w:w="0" w:type="dxa"/>
          <w:right w:w="108" w:type="dxa"/>
        </w:tblCellMar>
      </w:tblPr>
      <w:tblGrid>
        <w:gridCol w:w="551"/>
        <w:gridCol w:w="698"/>
        <w:gridCol w:w="666"/>
        <w:gridCol w:w="417"/>
        <w:gridCol w:w="2862"/>
        <w:gridCol w:w="2730"/>
        <w:gridCol w:w="1890"/>
        <w:gridCol w:w="840"/>
        <w:gridCol w:w="840"/>
        <w:gridCol w:w="1066"/>
        <w:gridCol w:w="1349"/>
        <w:gridCol w:w="1470"/>
      </w:tblGrid>
      <w:tr>
        <w:tblPrEx>
          <w:tblCellMar>
            <w:top w:w="0" w:type="dxa"/>
            <w:left w:w="108" w:type="dxa"/>
            <w:bottom w:w="0" w:type="dxa"/>
            <w:right w:w="108" w:type="dxa"/>
          </w:tblCellMar>
        </w:tblPrEx>
        <w:trPr>
          <w:trHeight w:val="979" w:hRule="atLeast"/>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2862"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273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189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1066"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34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CellMar>
            <w:top w:w="0" w:type="dxa"/>
            <w:left w:w="108" w:type="dxa"/>
            <w:bottom w:w="0" w:type="dxa"/>
            <w:right w:w="108" w:type="dxa"/>
          </w:tblCellMar>
        </w:tblPrEx>
        <w:trPr>
          <w:trHeight w:val="2235" w:hRule="atLeast"/>
        </w:trPr>
        <w:tc>
          <w:tcPr>
            <w:tcW w:w="551"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698"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预算执行（</w:t>
            </w:r>
            <w:r>
              <w:rPr>
                <w:rFonts w:ascii="楷体_GB2312" w:hAnsi="宋体" w:eastAsia="楷体_GB2312" w:cs="宋体"/>
                <w:kern w:val="0"/>
                <w:sz w:val="20"/>
                <w:szCs w:val="20"/>
              </w:rPr>
              <w:t>25</w:t>
            </w:r>
            <w:r>
              <w:rPr>
                <w:rFonts w:hint="eastAsia" w:ascii="楷体_GB2312" w:hAnsi="宋体" w:eastAsia="楷体_GB2312" w:cs="宋体"/>
                <w:kern w:val="0"/>
                <w:sz w:val="20"/>
                <w:szCs w:val="20"/>
              </w:rPr>
              <w:t>分）</w:t>
            </w: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w:t>
            </w:r>
            <w:r>
              <w:rPr>
                <w:rFonts w:ascii="楷体_GB2312" w:hAnsi="宋体" w:eastAsia="楷体_GB2312" w:cs="宋体"/>
                <w:kern w:val="0"/>
                <w:sz w:val="20"/>
                <w:szCs w:val="20"/>
              </w:rPr>
              <w:t>=</w:t>
            </w:r>
            <w:r>
              <w:rPr>
                <w:rFonts w:hint="eastAsia" w:ascii="楷体_GB2312" w:hAnsi="宋体" w:eastAsia="楷体_GB2312" w:cs="宋体"/>
                <w:kern w:val="0"/>
                <w:sz w:val="20"/>
                <w:szCs w:val="20"/>
              </w:rPr>
              <w:t>（实际支出</w:t>
            </w:r>
            <w:r>
              <w:rPr>
                <w:rFonts w:ascii="楷体_GB2312" w:hAnsi="宋体" w:eastAsia="楷体_GB2312" w:cs="宋体"/>
                <w:kern w:val="0"/>
                <w:sz w:val="20"/>
                <w:szCs w:val="20"/>
              </w:rPr>
              <w:t>/</w:t>
            </w:r>
            <w:r>
              <w:rPr>
                <w:rFonts w:hint="eastAsia" w:ascii="楷体_GB2312" w:hAnsi="宋体" w:eastAsia="楷体_GB2312" w:cs="宋体"/>
                <w:kern w:val="0"/>
                <w:sz w:val="20"/>
                <w:szCs w:val="20"/>
              </w:rPr>
              <w:t>支出预算）×</w:t>
            </w:r>
            <w:r>
              <w:rPr>
                <w:rFonts w:ascii="楷体_GB2312" w:hAnsi="宋体" w:eastAsia="楷体_GB2312" w:cs="宋体"/>
                <w:kern w:val="0"/>
                <w:sz w:val="20"/>
                <w:szCs w:val="20"/>
              </w:rPr>
              <w:t>100%</w:t>
            </w:r>
            <w:r>
              <w:rPr>
                <w:rFonts w:hint="eastAsia" w:ascii="楷体_GB2312" w:hAnsi="宋体" w:eastAsia="楷体_GB2312" w:cs="宋体"/>
                <w:kern w:val="0"/>
                <w:sz w:val="20"/>
                <w:szCs w:val="20"/>
              </w:rPr>
              <w:t>，用以反映和考核部门（单位）预算执行的及时性和均衡性程度。</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半年支出进度＝部门上半年实际支出</w:t>
            </w:r>
            <w:r>
              <w:rPr>
                <w:rFonts w:ascii="楷体_GB2312" w:hAnsi="宋体" w:eastAsia="楷体_GB2312" w:cs="宋体"/>
                <w:kern w:val="0"/>
                <w:sz w:val="20"/>
                <w:szCs w:val="20"/>
              </w:rPr>
              <w:t>/</w:t>
            </w:r>
            <w:r>
              <w:rPr>
                <w:rFonts w:hint="eastAsia" w:ascii="楷体_GB2312" w:hAnsi="宋体" w:eastAsia="楷体_GB2312" w:cs="宋体"/>
                <w:kern w:val="0"/>
                <w:sz w:val="20"/>
                <w:szCs w:val="20"/>
              </w:rPr>
              <w:t>（上年结余结转</w:t>
            </w:r>
            <w:r>
              <w:rPr>
                <w:rFonts w:ascii="楷体_GB2312" w:hAnsi="宋体" w:eastAsia="楷体_GB2312" w:cs="宋体"/>
                <w:kern w:val="0"/>
                <w:sz w:val="20"/>
                <w:szCs w:val="20"/>
              </w:rPr>
              <w:t>+</w:t>
            </w:r>
            <w:r>
              <w:rPr>
                <w:rFonts w:hint="eastAsia" w:ascii="楷体_GB2312" w:hAnsi="宋体" w:eastAsia="楷体_GB2312" w:cs="宋体"/>
                <w:kern w:val="0"/>
                <w:sz w:val="20"/>
                <w:szCs w:val="20"/>
              </w:rPr>
              <w:t>本年部门预算安排</w:t>
            </w:r>
            <w:r>
              <w:rPr>
                <w:rFonts w:ascii="楷体_GB2312" w:hAnsi="宋体" w:eastAsia="楷体_GB2312" w:cs="宋体"/>
                <w:kern w:val="0"/>
                <w:sz w:val="20"/>
                <w:szCs w:val="20"/>
              </w:rPr>
              <w:t>+</w:t>
            </w:r>
            <w:r>
              <w:rPr>
                <w:rFonts w:hint="eastAsia" w:ascii="楷体_GB2312" w:hAnsi="宋体" w:eastAsia="楷体_GB2312" w:cs="宋体"/>
                <w:kern w:val="0"/>
                <w:sz w:val="20"/>
                <w:szCs w:val="20"/>
              </w:rPr>
              <w:t>上半年执行中追加追减）</w:t>
            </w:r>
            <w:r>
              <w:rPr>
                <w:rFonts w:ascii="楷体_GB2312" w:hAnsi="宋体" w:eastAsia="楷体_GB2312" w:cs="宋体"/>
                <w:kern w:val="0"/>
                <w:sz w:val="20"/>
                <w:szCs w:val="20"/>
              </w:rPr>
              <w:t>*100%</w:t>
            </w:r>
            <w:r>
              <w:rPr>
                <w:rFonts w:hint="eastAsia" w:ascii="楷体_GB2312" w:hAnsi="宋体" w:eastAsia="楷体_GB2312" w:cs="宋体"/>
                <w:kern w:val="0"/>
                <w:sz w:val="20"/>
                <w:szCs w:val="20"/>
              </w:rPr>
              <w:t>。</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前三季度支出进度＝部门前三季度实际支出</w:t>
            </w:r>
            <w:r>
              <w:rPr>
                <w:rFonts w:ascii="楷体_GB2312" w:hAnsi="宋体" w:eastAsia="楷体_GB2312" w:cs="宋体"/>
                <w:kern w:val="0"/>
                <w:sz w:val="20"/>
                <w:szCs w:val="20"/>
              </w:rPr>
              <w:t>/</w:t>
            </w:r>
            <w:r>
              <w:rPr>
                <w:rFonts w:hint="eastAsia" w:ascii="楷体_GB2312" w:hAnsi="宋体" w:eastAsia="楷体_GB2312" w:cs="宋体"/>
                <w:kern w:val="0"/>
                <w:sz w:val="20"/>
                <w:szCs w:val="20"/>
              </w:rPr>
              <w:t>（上年结余结转</w:t>
            </w:r>
            <w:r>
              <w:rPr>
                <w:rFonts w:ascii="楷体_GB2312" w:hAnsi="宋体" w:eastAsia="楷体_GB2312" w:cs="宋体"/>
                <w:kern w:val="0"/>
                <w:sz w:val="20"/>
                <w:szCs w:val="20"/>
              </w:rPr>
              <w:t>+</w:t>
            </w:r>
            <w:r>
              <w:rPr>
                <w:rFonts w:hint="eastAsia" w:ascii="楷体_GB2312" w:hAnsi="宋体" w:eastAsia="楷体_GB2312" w:cs="宋体"/>
                <w:kern w:val="0"/>
                <w:sz w:val="20"/>
                <w:szCs w:val="20"/>
              </w:rPr>
              <w:t>本年部门预算安排</w:t>
            </w:r>
            <w:r>
              <w:rPr>
                <w:rFonts w:ascii="楷体_GB2312" w:hAnsi="宋体" w:eastAsia="楷体_GB2312" w:cs="宋体"/>
                <w:kern w:val="0"/>
                <w:sz w:val="20"/>
                <w:szCs w:val="20"/>
              </w:rPr>
              <w:t>+</w:t>
            </w:r>
            <w:r>
              <w:rPr>
                <w:rFonts w:hint="eastAsia" w:ascii="楷体_GB2312" w:hAnsi="宋体" w:eastAsia="楷体_GB2312" w:cs="宋体"/>
                <w:kern w:val="0"/>
                <w:sz w:val="20"/>
                <w:szCs w:val="20"/>
              </w:rPr>
              <w:t>前三季度执行中追加追减）</w:t>
            </w:r>
            <w:r>
              <w:rPr>
                <w:rFonts w:ascii="楷体_GB2312" w:hAnsi="宋体" w:eastAsia="楷体_GB2312" w:cs="宋体"/>
                <w:kern w:val="0"/>
                <w:sz w:val="20"/>
                <w:szCs w:val="20"/>
              </w:rPr>
              <w:t>*100%</w:t>
            </w:r>
            <w:r>
              <w:rPr>
                <w:rFonts w:hint="eastAsia" w:ascii="楷体_GB2312" w:hAnsi="宋体" w:eastAsia="楷体_GB2312" w:cs="宋体"/>
                <w:kern w:val="0"/>
                <w:sz w:val="20"/>
                <w:szCs w:val="20"/>
              </w:rPr>
              <w:t>。</w:t>
            </w:r>
          </w:p>
        </w:tc>
        <w:tc>
          <w:tcPr>
            <w:tcW w:w="273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半年进度：进度率≥</w:t>
            </w:r>
            <w:r>
              <w:rPr>
                <w:rFonts w:ascii="楷体_GB2312" w:hAnsi="宋体" w:eastAsia="楷体_GB2312" w:cs="宋体"/>
                <w:kern w:val="0"/>
                <w:sz w:val="20"/>
                <w:szCs w:val="20"/>
              </w:rPr>
              <w:t>45%</w:t>
            </w:r>
            <w:r>
              <w:rPr>
                <w:rFonts w:hint="eastAsia" w:ascii="楷体_GB2312" w:hAnsi="宋体" w:eastAsia="楷体_GB2312" w:cs="宋体"/>
                <w:kern w:val="0"/>
                <w:sz w:val="20"/>
                <w:szCs w:val="20"/>
              </w:rPr>
              <w:t>，得</w:t>
            </w:r>
            <w:r>
              <w:rPr>
                <w:rFonts w:ascii="楷体_GB2312" w:hAnsi="宋体" w:eastAsia="楷体_GB2312" w:cs="宋体"/>
                <w:kern w:val="0"/>
                <w:sz w:val="20"/>
                <w:szCs w:val="20"/>
              </w:rPr>
              <w:t>2</w:t>
            </w:r>
            <w:r>
              <w:rPr>
                <w:rFonts w:hint="eastAsia" w:ascii="楷体_GB2312" w:hAnsi="宋体" w:eastAsia="楷体_GB2312" w:cs="宋体"/>
                <w:kern w:val="0"/>
                <w:sz w:val="20"/>
                <w:szCs w:val="20"/>
              </w:rPr>
              <w:t>分；进度率在</w:t>
            </w:r>
            <w:r>
              <w:rPr>
                <w:rFonts w:ascii="楷体_GB2312" w:hAnsi="宋体" w:eastAsia="楷体_GB2312" w:cs="宋体"/>
                <w:kern w:val="0"/>
                <w:sz w:val="20"/>
                <w:szCs w:val="20"/>
              </w:rPr>
              <w:t>40%</w:t>
            </w:r>
            <w:r>
              <w:rPr>
                <w:rFonts w:hint="eastAsia" w:ascii="楷体_GB2312" w:hAnsi="宋体" w:eastAsia="楷体_GB2312" w:cs="宋体"/>
                <w:kern w:val="0"/>
                <w:sz w:val="20"/>
                <w:szCs w:val="20"/>
              </w:rPr>
              <w:t>（含）和</w:t>
            </w:r>
            <w:r>
              <w:rPr>
                <w:rFonts w:ascii="楷体_GB2312" w:hAnsi="宋体" w:eastAsia="楷体_GB2312" w:cs="宋体"/>
                <w:kern w:val="0"/>
                <w:sz w:val="20"/>
                <w:szCs w:val="20"/>
              </w:rPr>
              <w:t>45%</w:t>
            </w:r>
            <w:r>
              <w:rPr>
                <w:rFonts w:hint="eastAsia" w:ascii="楷体_GB2312" w:hAnsi="宋体" w:eastAsia="楷体_GB2312" w:cs="宋体"/>
                <w:kern w:val="0"/>
                <w:sz w:val="20"/>
                <w:szCs w:val="20"/>
              </w:rPr>
              <w:t>之间，得</w:t>
            </w:r>
            <w:r>
              <w:rPr>
                <w:rFonts w:ascii="楷体_GB2312" w:hAnsi="宋体" w:eastAsia="楷体_GB2312" w:cs="宋体"/>
                <w:kern w:val="0"/>
                <w:sz w:val="20"/>
                <w:szCs w:val="20"/>
              </w:rPr>
              <w:t>1</w:t>
            </w:r>
            <w:r>
              <w:rPr>
                <w:rFonts w:hint="eastAsia" w:ascii="楷体_GB2312" w:hAnsi="宋体" w:eastAsia="楷体_GB2312" w:cs="宋体"/>
                <w:kern w:val="0"/>
                <w:sz w:val="20"/>
                <w:szCs w:val="20"/>
              </w:rPr>
              <w:t>分；进度率＜</w:t>
            </w:r>
            <w:r>
              <w:rPr>
                <w:rFonts w:ascii="楷体_GB2312" w:hAnsi="宋体" w:eastAsia="楷体_GB2312" w:cs="宋体"/>
                <w:kern w:val="0"/>
                <w:sz w:val="20"/>
                <w:szCs w:val="20"/>
              </w:rPr>
              <w:t>40%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0</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前三季度进度：进度率≥</w:t>
            </w:r>
            <w:r>
              <w:rPr>
                <w:rFonts w:ascii="楷体_GB2312" w:hAnsi="宋体" w:eastAsia="楷体_GB2312" w:cs="宋体"/>
                <w:kern w:val="0"/>
                <w:sz w:val="20"/>
                <w:szCs w:val="20"/>
              </w:rPr>
              <w:t>75%</w:t>
            </w:r>
            <w:r>
              <w:rPr>
                <w:rFonts w:hint="eastAsia" w:ascii="楷体_GB2312" w:hAnsi="宋体" w:eastAsia="楷体_GB2312" w:cs="宋体"/>
                <w:kern w:val="0"/>
                <w:sz w:val="20"/>
                <w:szCs w:val="20"/>
              </w:rPr>
              <w:t>，得</w:t>
            </w:r>
            <w:r>
              <w:rPr>
                <w:rFonts w:ascii="楷体_GB2312" w:hAnsi="宋体" w:eastAsia="楷体_GB2312" w:cs="宋体"/>
                <w:kern w:val="0"/>
                <w:sz w:val="20"/>
                <w:szCs w:val="20"/>
              </w:rPr>
              <w:t>3</w:t>
            </w:r>
            <w:r>
              <w:rPr>
                <w:rFonts w:hint="eastAsia" w:ascii="楷体_GB2312" w:hAnsi="宋体" w:eastAsia="楷体_GB2312" w:cs="宋体"/>
                <w:kern w:val="0"/>
                <w:sz w:val="20"/>
                <w:szCs w:val="20"/>
              </w:rPr>
              <w:t>分；进度率在</w:t>
            </w:r>
            <w:r>
              <w:rPr>
                <w:rFonts w:ascii="楷体_GB2312" w:hAnsi="宋体" w:eastAsia="楷体_GB2312" w:cs="宋体"/>
                <w:kern w:val="0"/>
                <w:sz w:val="20"/>
                <w:szCs w:val="20"/>
              </w:rPr>
              <w:t>60%</w:t>
            </w:r>
            <w:r>
              <w:rPr>
                <w:rFonts w:hint="eastAsia" w:ascii="楷体_GB2312" w:hAnsi="宋体" w:eastAsia="楷体_GB2312" w:cs="宋体"/>
                <w:kern w:val="0"/>
                <w:sz w:val="20"/>
                <w:szCs w:val="20"/>
              </w:rPr>
              <w:t>（含）和</w:t>
            </w:r>
            <w:r>
              <w:rPr>
                <w:rFonts w:ascii="楷体_GB2312" w:hAnsi="宋体" w:eastAsia="楷体_GB2312" w:cs="宋体"/>
                <w:kern w:val="0"/>
                <w:sz w:val="20"/>
                <w:szCs w:val="20"/>
              </w:rPr>
              <w:t>75%</w:t>
            </w:r>
            <w:r>
              <w:rPr>
                <w:rFonts w:hint="eastAsia" w:ascii="楷体_GB2312" w:hAnsi="宋体" w:eastAsia="楷体_GB2312" w:cs="宋体"/>
                <w:kern w:val="0"/>
                <w:sz w:val="20"/>
                <w:szCs w:val="20"/>
              </w:rPr>
              <w:t>之间，得</w:t>
            </w:r>
            <w:r>
              <w:rPr>
                <w:rFonts w:ascii="楷体_GB2312" w:hAnsi="宋体" w:eastAsia="楷体_GB2312" w:cs="宋体"/>
                <w:kern w:val="0"/>
                <w:sz w:val="20"/>
                <w:szCs w:val="20"/>
              </w:rPr>
              <w:t>2</w:t>
            </w:r>
            <w:r>
              <w:rPr>
                <w:rFonts w:hint="eastAsia" w:ascii="楷体_GB2312" w:hAnsi="宋体" w:eastAsia="楷体_GB2312" w:cs="宋体"/>
                <w:kern w:val="0"/>
                <w:sz w:val="20"/>
                <w:szCs w:val="20"/>
              </w:rPr>
              <w:t>分；进度率＜</w:t>
            </w:r>
            <w:r>
              <w:rPr>
                <w:rFonts w:ascii="楷体_GB2312" w:hAnsi="宋体" w:eastAsia="楷体_GB2312" w:cs="宋体"/>
                <w:kern w:val="0"/>
                <w:sz w:val="20"/>
                <w:szCs w:val="20"/>
              </w:rPr>
              <w:t>60%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0</w:t>
            </w:r>
            <w:r>
              <w:rPr>
                <w:rFonts w:hint="eastAsia" w:ascii="楷体_GB2312" w:hAnsi="宋体" w:eastAsia="楷体_GB2312" w:cs="宋体"/>
                <w:kern w:val="0"/>
                <w:sz w:val="20"/>
                <w:szCs w:val="20"/>
              </w:rPr>
              <w:t>分。</w:t>
            </w: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集中支付系统</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半年进度45%，三季度进度80%</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半年进度45%，三季度进度78%</w:t>
            </w:r>
          </w:p>
        </w:tc>
        <w:tc>
          <w:tcPr>
            <w:tcW w:w="1066" w:type="dxa"/>
            <w:tcBorders>
              <w:top w:val="nil"/>
              <w:left w:val="nil"/>
              <w:bottom w:val="single" w:color="auto" w:sz="4" w:space="0"/>
              <w:right w:val="single" w:color="auto" w:sz="4" w:space="0"/>
            </w:tcBorders>
            <w:vAlign w:val="center"/>
          </w:tcPr>
          <w:p>
            <w:pPr>
              <w:widowControl/>
              <w:jc w:val="right"/>
              <w:rPr>
                <w:rFonts w:hint="eastAsia" w:ascii="楷体_GB2312" w:hAnsi="宋体" w:eastAsia="楷体_GB2312" w:cs="宋体"/>
                <w:kern w:val="0"/>
                <w:sz w:val="20"/>
                <w:szCs w:val="20"/>
                <w:lang w:eastAsia="zh-CN"/>
              </w:rPr>
            </w:pPr>
            <w:r>
              <w:rPr>
                <w:rFonts w:hint="eastAsia" w:ascii="楷体_GB2312" w:hAnsi="宋体" w:eastAsia="楷体_GB2312" w:cs="宋体"/>
                <w:kern w:val="0"/>
                <w:sz w:val="20"/>
                <w:szCs w:val="20"/>
                <w:lang w:val="en-US" w:eastAsia="zh-CN"/>
              </w:rPr>
              <w:t>4</w:t>
            </w:r>
          </w:p>
        </w:tc>
        <w:tc>
          <w:tcPr>
            <w:tcW w:w="134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原因：支付缓慢，部分项目等待集中支付，整改措施：加强支付管理，按时支付</w:t>
            </w:r>
          </w:p>
        </w:tc>
        <w:tc>
          <w:tcPr>
            <w:tcW w:w="14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530"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部门预算中除财政拨款外的其他收入预算与决算差异率。</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预算编制准确率＝其他收入决算数</w:t>
            </w:r>
            <w:r>
              <w:rPr>
                <w:rFonts w:ascii="楷体_GB2312" w:hAnsi="宋体" w:eastAsia="楷体_GB2312" w:cs="宋体"/>
                <w:kern w:val="0"/>
                <w:sz w:val="20"/>
                <w:szCs w:val="20"/>
              </w:rPr>
              <w:t>/</w:t>
            </w:r>
            <w:r>
              <w:rPr>
                <w:rFonts w:hint="eastAsia" w:ascii="楷体_GB2312" w:hAnsi="宋体" w:eastAsia="楷体_GB2312" w:cs="宋体"/>
                <w:kern w:val="0"/>
                <w:sz w:val="20"/>
                <w:szCs w:val="20"/>
              </w:rPr>
              <w:t>其他收入预算数×</w:t>
            </w:r>
            <w:r>
              <w:rPr>
                <w:rFonts w:ascii="楷体_GB2312" w:hAnsi="宋体" w:eastAsia="楷体_GB2312" w:cs="宋体"/>
                <w:kern w:val="0"/>
                <w:sz w:val="20"/>
                <w:szCs w:val="20"/>
              </w:rPr>
              <w:t>100%-100%</w:t>
            </w:r>
            <w:r>
              <w:rPr>
                <w:rFonts w:hint="eastAsia" w:ascii="楷体_GB2312" w:hAnsi="宋体" w:eastAsia="楷体_GB2312" w:cs="宋体"/>
                <w:kern w:val="0"/>
                <w:sz w:val="20"/>
                <w:szCs w:val="20"/>
              </w:rPr>
              <w:t>。</w:t>
            </w:r>
          </w:p>
        </w:tc>
        <w:tc>
          <w:tcPr>
            <w:tcW w:w="273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w:t>
            </w:r>
            <w:r>
              <w:rPr>
                <w:rFonts w:ascii="楷体_GB2312" w:hAnsi="宋体" w:eastAsia="楷体_GB2312" w:cs="宋体"/>
                <w:kern w:val="0"/>
                <w:sz w:val="20"/>
                <w:szCs w:val="20"/>
              </w:rPr>
              <w:t>20%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预算编制准确率在</w:t>
            </w:r>
            <w:r>
              <w:rPr>
                <w:rFonts w:ascii="楷体_GB2312" w:hAnsi="宋体" w:eastAsia="楷体_GB2312" w:cs="宋体"/>
                <w:kern w:val="0"/>
                <w:sz w:val="20"/>
                <w:szCs w:val="20"/>
              </w:rPr>
              <w:t>20%</w:t>
            </w:r>
            <w:r>
              <w:rPr>
                <w:rFonts w:hint="eastAsia" w:ascii="楷体_GB2312" w:hAnsi="宋体" w:eastAsia="楷体_GB2312" w:cs="宋体"/>
                <w:kern w:val="0"/>
                <w:sz w:val="20"/>
                <w:szCs w:val="20"/>
              </w:rPr>
              <w:t>和</w:t>
            </w:r>
            <w:r>
              <w:rPr>
                <w:rFonts w:ascii="楷体_GB2312" w:hAnsi="宋体" w:eastAsia="楷体_GB2312" w:cs="宋体"/>
                <w:kern w:val="0"/>
                <w:sz w:val="20"/>
                <w:szCs w:val="20"/>
              </w:rPr>
              <w:t>40%</w:t>
            </w:r>
            <w:r>
              <w:rPr>
                <w:rFonts w:hint="eastAsia" w:ascii="楷体_GB2312" w:hAnsi="宋体" w:eastAsia="楷体_GB2312" w:cs="宋体"/>
                <w:kern w:val="0"/>
                <w:sz w:val="20"/>
                <w:szCs w:val="20"/>
              </w:rPr>
              <w:t>（含）之间，得</w:t>
            </w:r>
            <w:r>
              <w:rPr>
                <w:rFonts w:ascii="楷体_GB2312" w:hAnsi="宋体" w:eastAsia="楷体_GB2312" w:cs="宋体"/>
                <w:kern w:val="0"/>
                <w:sz w:val="20"/>
                <w:szCs w:val="20"/>
              </w:rPr>
              <w:t>3</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w:t>
            </w:r>
            <w:r>
              <w:rPr>
                <w:rFonts w:ascii="楷体_GB2312" w:hAnsi="宋体" w:eastAsia="楷体_GB2312" w:cs="宋体"/>
                <w:kern w:val="0"/>
                <w:sz w:val="20"/>
                <w:szCs w:val="20"/>
              </w:rPr>
              <w:t>40%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0</w:t>
            </w:r>
            <w:r>
              <w:rPr>
                <w:rFonts w:hint="eastAsia" w:ascii="楷体_GB2312" w:hAnsi="宋体" w:eastAsia="楷体_GB2312" w:cs="宋体"/>
                <w:kern w:val="0"/>
                <w:sz w:val="20"/>
                <w:szCs w:val="20"/>
              </w:rPr>
              <w:t>分。</w:t>
            </w: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20"/>
                <w:szCs w:val="20"/>
              </w:rPr>
            </w:pPr>
            <w:r>
              <w:rPr>
                <w:rFonts w:ascii="楷体_GB2312" w:hAnsi="宋体" w:eastAsia="楷体_GB2312" w:cs="宋体"/>
                <w:kern w:val="0"/>
                <w:sz w:val="20"/>
                <w:szCs w:val="20"/>
              </w:rPr>
              <w:t>100%</w:t>
            </w:r>
          </w:p>
        </w:tc>
        <w:tc>
          <w:tcPr>
            <w:tcW w:w="840" w:type="dxa"/>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20"/>
                <w:szCs w:val="20"/>
              </w:rPr>
            </w:pPr>
            <w:r>
              <w:rPr>
                <w:rFonts w:ascii="楷体_GB2312" w:hAnsi="宋体" w:eastAsia="楷体_GB2312" w:cs="宋体"/>
                <w:kern w:val="0"/>
                <w:sz w:val="20"/>
                <w:szCs w:val="20"/>
              </w:rPr>
              <w:t>100%</w:t>
            </w:r>
          </w:p>
        </w:tc>
        <w:tc>
          <w:tcPr>
            <w:tcW w:w="1066" w:type="dxa"/>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134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其他收入为不可遇见的收入，因此未列入部门预算，以后要重视对其他收入的估计。</w:t>
            </w:r>
          </w:p>
        </w:tc>
        <w:tc>
          <w:tcPr>
            <w:tcW w:w="14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其他收入预算为</w:t>
            </w:r>
            <w:r>
              <w:rPr>
                <w:rFonts w:ascii="仿宋_GB2312" w:hAnsi="宋体" w:eastAsia="仿宋_GB2312" w:cs="宋体"/>
                <w:kern w:val="0"/>
                <w:sz w:val="20"/>
                <w:szCs w:val="20"/>
              </w:rPr>
              <w:t>0</w:t>
            </w:r>
            <w:r>
              <w:rPr>
                <w:rFonts w:hint="eastAsia" w:ascii="仿宋_GB2312" w:hAnsi="宋体" w:eastAsia="仿宋_GB2312" w:cs="宋体"/>
                <w:kern w:val="0"/>
                <w:sz w:val="20"/>
                <w:szCs w:val="20"/>
              </w:rPr>
              <w:t>时，公式不成立。</w:t>
            </w:r>
          </w:p>
        </w:tc>
      </w:tr>
      <w:tr>
        <w:tblPrEx>
          <w:tblCellMar>
            <w:top w:w="0" w:type="dxa"/>
            <w:left w:w="108" w:type="dxa"/>
            <w:bottom w:w="0" w:type="dxa"/>
            <w:right w:w="108" w:type="dxa"/>
          </w:tblCellMar>
        </w:tblPrEx>
        <w:trPr>
          <w:trHeight w:val="1782" w:hRule="atLeast"/>
        </w:trPr>
        <w:tc>
          <w:tcPr>
            <w:tcW w:w="551"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698"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预算管理（</w:t>
            </w:r>
            <w:r>
              <w:rPr>
                <w:rFonts w:ascii="楷体_GB2312" w:hAnsi="宋体" w:eastAsia="楷体_GB2312" w:cs="宋体"/>
                <w:kern w:val="0"/>
                <w:sz w:val="20"/>
                <w:szCs w:val="20"/>
              </w:rPr>
              <w:t>15</w:t>
            </w:r>
            <w:r>
              <w:rPr>
                <w:rFonts w:hint="eastAsia" w:ascii="楷体_GB2312" w:hAnsi="宋体" w:eastAsia="楷体_GB2312" w:cs="宋体"/>
                <w:kern w:val="0"/>
                <w:sz w:val="20"/>
                <w:szCs w:val="20"/>
              </w:rPr>
              <w:t>分）</w:t>
            </w: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w:t>
            </w:r>
            <w:r>
              <w:rPr>
                <w:rFonts w:ascii="楷体_GB2312" w:hAnsi="宋体" w:eastAsia="楷体_GB2312" w:cs="宋体"/>
                <w:kern w:val="0"/>
                <w:sz w:val="20"/>
                <w:szCs w:val="20"/>
              </w:rPr>
              <w:t>=</w:t>
            </w:r>
            <w:r>
              <w:rPr>
                <w:rFonts w:hint="eastAsia" w:ascii="楷体_GB2312" w:hAnsi="宋体" w:eastAsia="楷体_GB2312" w:cs="宋体"/>
                <w:kern w:val="0"/>
                <w:sz w:val="20"/>
                <w:szCs w:val="20"/>
              </w:rPr>
              <w:t>（“三公经费”实际支出数</w:t>
            </w:r>
            <w:r>
              <w:rPr>
                <w:rFonts w:ascii="楷体_GB2312" w:hAnsi="宋体" w:eastAsia="楷体_GB2312" w:cs="宋体"/>
                <w:kern w:val="0"/>
                <w:sz w:val="20"/>
                <w:szCs w:val="20"/>
              </w:rPr>
              <w:t>/</w:t>
            </w:r>
            <w:r>
              <w:rPr>
                <w:rFonts w:hint="eastAsia" w:ascii="楷体_GB2312" w:hAnsi="宋体" w:eastAsia="楷体_GB2312" w:cs="宋体"/>
                <w:kern w:val="0"/>
                <w:sz w:val="20"/>
                <w:szCs w:val="20"/>
              </w:rPr>
              <w:t>“三公经费”预算安排数）×</w:t>
            </w:r>
            <w:r>
              <w:rPr>
                <w:rFonts w:ascii="楷体_GB2312" w:hAnsi="宋体" w:eastAsia="楷体_GB2312" w:cs="宋体"/>
                <w:kern w:val="0"/>
                <w:sz w:val="20"/>
                <w:szCs w:val="20"/>
              </w:rPr>
              <w:t>100%</w:t>
            </w:r>
            <w:r>
              <w:rPr>
                <w:rFonts w:hint="eastAsia" w:ascii="楷体_GB2312" w:hAnsi="宋体" w:eastAsia="楷体_GB2312" w:cs="宋体"/>
                <w:kern w:val="0"/>
                <w:sz w:val="20"/>
                <w:szCs w:val="20"/>
              </w:rPr>
              <w:t>，用以反映和考核部门（单位）对“三公经费”的实际控制程度。</w:t>
            </w:r>
          </w:p>
        </w:tc>
        <w:tc>
          <w:tcPr>
            <w:tcW w:w="273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w:t>
            </w:r>
            <w:r>
              <w:rPr>
                <w:rFonts w:ascii="楷体_GB2312" w:hAnsi="宋体" w:eastAsia="楷体_GB2312" w:cs="宋体"/>
                <w:kern w:val="0"/>
                <w:sz w:val="20"/>
                <w:szCs w:val="20"/>
              </w:rPr>
              <w:t xml:space="preserve"> </w:t>
            </w:r>
            <w:r>
              <w:rPr>
                <w:rFonts w:hint="eastAsia" w:ascii="楷体_GB2312" w:hAnsi="宋体" w:eastAsia="楷体_GB2312" w:cs="宋体"/>
                <w:kern w:val="0"/>
                <w:sz w:val="20"/>
                <w:szCs w:val="20"/>
              </w:rPr>
              <w:t>≤</w:t>
            </w:r>
            <w:r>
              <w:rPr>
                <w:rFonts w:ascii="楷体_GB2312" w:hAnsi="宋体" w:eastAsia="楷体_GB2312" w:cs="宋体"/>
                <w:kern w:val="0"/>
                <w:sz w:val="20"/>
                <w:szCs w:val="20"/>
              </w:rPr>
              <w:t>100%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分，每增加</w:t>
            </w:r>
            <w:r>
              <w:rPr>
                <w:rFonts w:ascii="楷体_GB2312" w:hAnsi="宋体" w:eastAsia="楷体_GB2312" w:cs="宋体"/>
                <w:kern w:val="0"/>
                <w:sz w:val="20"/>
                <w:szCs w:val="20"/>
              </w:rPr>
              <w:t>0.1</w:t>
            </w:r>
            <w:r>
              <w:rPr>
                <w:rFonts w:hint="eastAsia" w:ascii="楷体_GB2312" w:hAnsi="宋体" w:eastAsia="楷体_GB2312" w:cs="宋体"/>
                <w:kern w:val="0"/>
                <w:sz w:val="20"/>
                <w:szCs w:val="20"/>
              </w:rPr>
              <w:t>个百分点扣</w:t>
            </w:r>
            <w:r>
              <w:rPr>
                <w:rFonts w:ascii="楷体_GB2312" w:hAnsi="宋体" w:eastAsia="楷体_GB2312" w:cs="宋体"/>
                <w:kern w:val="0"/>
                <w:sz w:val="20"/>
                <w:szCs w:val="20"/>
              </w:rPr>
              <w:t>0.5</w:t>
            </w:r>
            <w:r>
              <w:rPr>
                <w:rFonts w:hint="eastAsia" w:ascii="楷体_GB2312" w:hAnsi="宋体" w:eastAsia="楷体_GB2312" w:cs="宋体"/>
                <w:kern w:val="0"/>
                <w:sz w:val="20"/>
                <w:szCs w:val="20"/>
              </w:rPr>
              <w:t>分，扣完为止。</w:t>
            </w: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840" w:type="dxa"/>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20"/>
                <w:szCs w:val="20"/>
              </w:rPr>
            </w:pPr>
            <w:r>
              <w:rPr>
                <w:rFonts w:ascii="楷体_GB2312" w:hAnsi="宋体" w:eastAsia="楷体_GB2312" w:cs="宋体"/>
                <w:kern w:val="0"/>
                <w:sz w:val="20"/>
                <w:szCs w:val="20"/>
              </w:rPr>
              <w:t>100%</w:t>
            </w:r>
          </w:p>
        </w:tc>
        <w:tc>
          <w:tcPr>
            <w:tcW w:w="840" w:type="dxa"/>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100</w:t>
            </w:r>
            <w:r>
              <w:rPr>
                <w:rFonts w:ascii="楷体_GB2312" w:hAnsi="宋体" w:eastAsia="楷体_GB2312" w:cs="宋体"/>
                <w:kern w:val="0"/>
                <w:sz w:val="20"/>
                <w:szCs w:val="20"/>
              </w:rPr>
              <w:t>%</w:t>
            </w:r>
          </w:p>
        </w:tc>
        <w:tc>
          <w:tcPr>
            <w:tcW w:w="10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134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14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782"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资产管理规范性</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部门（单位）资产管理是否规范，用以反映和考核部门（单位）资产管理情况。</w:t>
            </w:r>
            <w:r>
              <w:rPr>
                <w:rFonts w:ascii="楷体_GB2312" w:hAnsi="宋体" w:eastAsia="楷体_GB2312" w:cs="宋体"/>
                <w:kern w:val="0"/>
                <w:sz w:val="20"/>
                <w:szCs w:val="20"/>
              </w:rPr>
              <w:br w:type="textWrapping"/>
            </w:r>
            <w:r>
              <w:rPr>
                <w:rFonts w:ascii="楷体_GB2312" w:hAnsi="宋体" w:eastAsia="楷体_GB2312" w:cs="宋体"/>
                <w:kern w:val="0"/>
                <w:sz w:val="20"/>
                <w:szCs w:val="20"/>
              </w:rPr>
              <w:t>1.</w:t>
            </w:r>
            <w:r>
              <w:rPr>
                <w:rFonts w:hint="eastAsia" w:ascii="楷体_GB2312" w:hAnsi="宋体" w:eastAsia="楷体_GB2312" w:cs="宋体"/>
                <w:kern w:val="0"/>
                <w:sz w:val="20"/>
                <w:szCs w:val="20"/>
              </w:rPr>
              <w:t>新增资产配置按预算执行。</w:t>
            </w:r>
            <w:r>
              <w:rPr>
                <w:rFonts w:ascii="楷体_GB2312" w:hAnsi="宋体" w:eastAsia="楷体_GB2312" w:cs="宋体"/>
                <w:kern w:val="0"/>
                <w:sz w:val="20"/>
                <w:szCs w:val="20"/>
              </w:rPr>
              <w:br w:type="textWrapping"/>
            </w:r>
            <w:r>
              <w:rPr>
                <w:rFonts w:ascii="楷体_GB2312" w:hAnsi="宋体" w:eastAsia="楷体_GB2312" w:cs="宋体"/>
                <w:kern w:val="0"/>
                <w:sz w:val="20"/>
                <w:szCs w:val="20"/>
              </w:rPr>
              <w:t>2.</w:t>
            </w:r>
            <w:r>
              <w:rPr>
                <w:rFonts w:hint="eastAsia" w:ascii="楷体_GB2312" w:hAnsi="宋体" w:eastAsia="楷体_GB2312" w:cs="宋体"/>
                <w:kern w:val="0"/>
                <w:sz w:val="20"/>
                <w:szCs w:val="20"/>
              </w:rPr>
              <w:t>资产有偿使用、处置按规定程序审批。</w:t>
            </w:r>
            <w:r>
              <w:rPr>
                <w:rFonts w:ascii="楷体_GB2312" w:hAnsi="宋体" w:eastAsia="楷体_GB2312" w:cs="宋体"/>
                <w:kern w:val="0"/>
                <w:sz w:val="20"/>
                <w:szCs w:val="20"/>
              </w:rPr>
              <w:br w:type="textWrapping"/>
            </w:r>
            <w:r>
              <w:rPr>
                <w:rFonts w:ascii="楷体_GB2312" w:hAnsi="宋体" w:eastAsia="楷体_GB2312" w:cs="宋体"/>
                <w:kern w:val="0"/>
                <w:sz w:val="20"/>
                <w:szCs w:val="20"/>
              </w:rPr>
              <w:t>3.</w:t>
            </w:r>
            <w:r>
              <w:rPr>
                <w:rFonts w:hint="eastAsia" w:ascii="楷体_GB2312" w:hAnsi="宋体" w:eastAsia="楷体_GB2312" w:cs="宋体"/>
                <w:kern w:val="0"/>
                <w:sz w:val="20"/>
                <w:szCs w:val="20"/>
              </w:rPr>
              <w:t>资产收益及时、足额上缴财政。</w:t>
            </w:r>
          </w:p>
        </w:tc>
        <w:tc>
          <w:tcPr>
            <w:tcW w:w="273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分，有</w:t>
            </w:r>
            <w:r>
              <w:rPr>
                <w:rFonts w:ascii="楷体_GB2312" w:hAnsi="宋体" w:eastAsia="楷体_GB2312" w:cs="宋体"/>
                <w:kern w:val="0"/>
                <w:sz w:val="20"/>
                <w:szCs w:val="20"/>
              </w:rPr>
              <w:t>1</w:t>
            </w:r>
            <w:r>
              <w:rPr>
                <w:rFonts w:hint="eastAsia" w:ascii="楷体_GB2312" w:hAnsi="宋体" w:eastAsia="楷体_GB2312" w:cs="宋体"/>
                <w:kern w:val="0"/>
                <w:sz w:val="20"/>
                <w:szCs w:val="20"/>
              </w:rPr>
              <w:t>项不符扣</w:t>
            </w:r>
            <w:r>
              <w:rPr>
                <w:rFonts w:ascii="楷体_GB2312" w:hAnsi="宋体" w:eastAsia="楷体_GB2312" w:cs="宋体"/>
                <w:kern w:val="0"/>
                <w:sz w:val="20"/>
                <w:szCs w:val="20"/>
              </w:rPr>
              <w:t>2</w:t>
            </w:r>
            <w:r>
              <w:rPr>
                <w:rFonts w:hint="eastAsia" w:ascii="楷体_GB2312" w:hAnsi="宋体" w:eastAsia="楷体_GB2312" w:cs="宋体"/>
                <w:kern w:val="0"/>
                <w:sz w:val="20"/>
                <w:szCs w:val="20"/>
              </w:rPr>
              <w:t>分</w:t>
            </w:r>
            <w:r>
              <w:rPr>
                <w:rFonts w:ascii="楷体_GB2312" w:hAnsi="宋体" w:eastAsia="楷体_GB2312" w:cs="宋体"/>
                <w:kern w:val="0"/>
                <w:sz w:val="20"/>
                <w:szCs w:val="20"/>
              </w:rPr>
              <w:t>,</w:t>
            </w:r>
            <w:r>
              <w:rPr>
                <w:rFonts w:hint="eastAsia" w:ascii="楷体_GB2312" w:hAnsi="宋体" w:eastAsia="楷体_GB2312" w:cs="宋体"/>
                <w:kern w:val="0"/>
                <w:sz w:val="20"/>
                <w:szCs w:val="20"/>
              </w:rPr>
              <w:t>扣完为止。</w:t>
            </w: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全部</w:t>
            </w:r>
            <w:r>
              <w:rPr>
                <w:rFonts w:hint="eastAsia" w:ascii="楷体_GB2312" w:hAnsi="宋体" w:eastAsia="楷体_GB2312" w:cs="宋体"/>
                <w:kern w:val="0"/>
                <w:sz w:val="20"/>
                <w:szCs w:val="20"/>
              </w:rPr>
              <w:t>符合</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全部</w:t>
            </w:r>
            <w:r>
              <w:rPr>
                <w:rFonts w:hint="eastAsia" w:ascii="楷体_GB2312" w:hAnsi="宋体" w:eastAsia="楷体_GB2312" w:cs="宋体"/>
                <w:kern w:val="0"/>
                <w:sz w:val="20"/>
                <w:szCs w:val="20"/>
              </w:rPr>
              <w:t>符合</w:t>
            </w:r>
          </w:p>
        </w:tc>
        <w:tc>
          <w:tcPr>
            <w:tcW w:w="10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1349"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r>
    </w:tbl>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tbl>
      <w:tblPr>
        <w:tblStyle w:val="10"/>
        <w:tblW w:w="15268" w:type="dxa"/>
        <w:tblInd w:w="-985" w:type="dxa"/>
        <w:tblLayout w:type="autofit"/>
        <w:tblCellMar>
          <w:top w:w="0" w:type="dxa"/>
          <w:left w:w="108" w:type="dxa"/>
          <w:bottom w:w="0" w:type="dxa"/>
          <w:right w:w="108" w:type="dxa"/>
        </w:tblCellMar>
      </w:tblPr>
      <w:tblGrid>
        <w:gridCol w:w="560"/>
        <w:gridCol w:w="666"/>
        <w:gridCol w:w="666"/>
        <w:gridCol w:w="417"/>
        <w:gridCol w:w="2774"/>
        <w:gridCol w:w="2730"/>
        <w:gridCol w:w="1890"/>
        <w:gridCol w:w="840"/>
        <w:gridCol w:w="840"/>
        <w:gridCol w:w="1057"/>
        <w:gridCol w:w="1358"/>
        <w:gridCol w:w="1470"/>
      </w:tblGrid>
      <w:tr>
        <w:tblPrEx>
          <w:tblCellMar>
            <w:top w:w="0" w:type="dxa"/>
            <w:left w:w="108" w:type="dxa"/>
            <w:bottom w:w="0" w:type="dxa"/>
            <w:right w:w="108" w:type="dxa"/>
          </w:tblCellMar>
        </w:tblPrEx>
        <w:trPr>
          <w:trHeight w:val="720"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2774"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273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189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1057"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35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CellMar>
            <w:top w:w="0" w:type="dxa"/>
            <w:left w:w="108" w:type="dxa"/>
            <w:bottom w:w="0" w:type="dxa"/>
            <w:right w:w="108" w:type="dxa"/>
          </w:tblCellMar>
        </w:tblPrEx>
        <w:trPr>
          <w:trHeight w:val="2880" w:hRule="atLeast"/>
        </w:trPr>
        <w:tc>
          <w:tcPr>
            <w:tcW w:w="560"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预算管理（</w:t>
            </w:r>
            <w:r>
              <w:rPr>
                <w:rFonts w:ascii="楷体_GB2312" w:hAnsi="宋体" w:eastAsia="楷体_GB2312" w:cs="宋体"/>
                <w:kern w:val="0"/>
                <w:sz w:val="20"/>
                <w:szCs w:val="20"/>
              </w:rPr>
              <w:t>15</w:t>
            </w:r>
            <w:r>
              <w:rPr>
                <w:rFonts w:hint="eastAsia" w:ascii="楷体_GB2312" w:hAnsi="宋体" w:eastAsia="楷体_GB2312" w:cs="宋体"/>
                <w:kern w:val="0"/>
                <w:sz w:val="20"/>
                <w:szCs w:val="20"/>
              </w:rPr>
              <w:t>分）</w:t>
            </w: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2774"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部门（单位）使用预算资金是否符合相关的预算财务管理制度的规定，用以反映和考核部门（单位）预算资金的规范运行情况。</w:t>
            </w:r>
            <w:r>
              <w:rPr>
                <w:rFonts w:ascii="楷体_GB2312" w:hAnsi="宋体" w:eastAsia="楷体_GB2312" w:cs="宋体"/>
                <w:kern w:val="0"/>
                <w:sz w:val="20"/>
                <w:szCs w:val="20"/>
              </w:rPr>
              <w:br w:type="textWrapping"/>
            </w:r>
            <w:r>
              <w:rPr>
                <w:rFonts w:ascii="楷体_GB2312" w:hAnsi="宋体" w:eastAsia="楷体_GB2312" w:cs="宋体"/>
                <w:kern w:val="0"/>
                <w:sz w:val="20"/>
                <w:szCs w:val="20"/>
              </w:rPr>
              <w:t>1.</w:t>
            </w:r>
            <w:r>
              <w:rPr>
                <w:rFonts w:hint="eastAsia" w:ascii="楷体_GB2312" w:hAnsi="宋体" w:eastAsia="楷体_GB2312" w:cs="宋体"/>
                <w:kern w:val="0"/>
                <w:sz w:val="20"/>
                <w:szCs w:val="20"/>
              </w:rPr>
              <w:t>符合国家财经法规和财务管理制度规定以及有关专项资金管理办法的规定；</w:t>
            </w:r>
            <w:r>
              <w:rPr>
                <w:rFonts w:ascii="楷体_GB2312" w:hAnsi="宋体" w:eastAsia="楷体_GB2312" w:cs="宋体"/>
                <w:kern w:val="0"/>
                <w:sz w:val="20"/>
                <w:szCs w:val="20"/>
              </w:rPr>
              <w:br w:type="textWrapping"/>
            </w:r>
            <w:r>
              <w:rPr>
                <w:rFonts w:ascii="楷体_GB2312" w:hAnsi="宋体" w:eastAsia="楷体_GB2312" w:cs="宋体"/>
                <w:kern w:val="0"/>
                <w:sz w:val="20"/>
                <w:szCs w:val="20"/>
              </w:rPr>
              <w:t>2.</w:t>
            </w:r>
            <w:r>
              <w:rPr>
                <w:rFonts w:hint="eastAsia" w:ascii="楷体_GB2312" w:hAnsi="宋体" w:eastAsia="楷体_GB2312" w:cs="宋体"/>
                <w:kern w:val="0"/>
                <w:sz w:val="20"/>
                <w:szCs w:val="20"/>
              </w:rPr>
              <w:t>资金的拨付有完整的审批程序和手续；</w:t>
            </w:r>
            <w:r>
              <w:rPr>
                <w:rFonts w:ascii="楷体_GB2312" w:hAnsi="宋体" w:eastAsia="楷体_GB2312" w:cs="宋体"/>
                <w:kern w:val="0"/>
                <w:sz w:val="20"/>
                <w:szCs w:val="20"/>
              </w:rPr>
              <w:br w:type="textWrapping"/>
            </w:r>
            <w:r>
              <w:rPr>
                <w:rFonts w:ascii="楷体_GB2312" w:hAnsi="宋体" w:eastAsia="楷体_GB2312" w:cs="宋体"/>
                <w:kern w:val="0"/>
                <w:sz w:val="20"/>
                <w:szCs w:val="20"/>
              </w:rPr>
              <w:t>3.</w:t>
            </w:r>
            <w:r>
              <w:rPr>
                <w:rFonts w:hint="eastAsia" w:ascii="楷体_GB2312" w:hAnsi="宋体" w:eastAsia="楷体_GB2312" w:cs="宋体"/>
                <w:kern w:val="0"/>
                <w:sz w:val="20"/>
                <w:szCs w:val="20"/>
              </w:rPr>
              <w:t>重大项目开支经过评估论证；</w:t>
            </w:r>
            <w:r>
              <w:rPr>
                <w:rFonts w:ascii="楷体_GB2312" w:hAnsi="宋体" w:eastAsia="楷体_GB2312" w:cs="宋体"/>
                <w:kern w:val="0"/>
                <w:sz w:val="20"/>
                <w:szCs w:val="20"/>
              </w:rPr>
              <w:br w:type="textWrapping"/>
            </w:r>
            <w:r>
              <w:rPr>
                <w:rFonts w:ascii="楷体_GB2312" w:hAnsi="宋体" w:eastAsia="楷体_GB2312" w:cs="宋体"/>
                <w:kern w:val="0"/>
                <w:sz w:val="20"/>
                <w:szCs w:val="20"/>
              </w:rPr>
              <w:t>4.</w:t>
            </w:r>
            <w:r>
              <w:rPr>
                <w:rFonts w:hint="eastAsia" w:ascii="楷体_GB2312" w:hAnsi="宋体" w:eastAsia="楷体_GB2312" w:cs="宋体"/>
                <w:kern w:val="0"/>
                <w:sz w:val="20"/>
                <w:szCs w:val="20"/>
              </w:rPr>
              <w:t>符合部门预算批复的用途；</w:t>
            </w:r>
            <w:r>
              <w:rPr>
                <w:rFonts w:ascii="楷体_GB2312" w:hAnsi="宋体" w:eastAsia="楷体_GB2312" w:cs="宋体"/>
                <w:kern w:val="0"/>
                <w:sz w:val="20"/>
                <w:szCs w:val="20"/>
              </w:rPr>
              <w:br w:type="textWrapping"/>
            </w:r>
            <w:r>
              <w:rPr>
                <w:rFonts w:ascii="楷体_GB2312" w:hAnsi="宋体" w:eastAsia="楷体_GB2312" w:cs="宋体"/>
                <w:kern w:val="0"/>
                <w:sz w:val="20"/>
                <w:szCs w:val="20"/>
              </w:rPr>
              <w:t>5.</w:t>
            </w:r>
            <w:r>
              <w:rPr>
                <w:rFonts w:hint="eastAsia" w:ascii="楷体_GB2312" w:hAnsi="宋体" w:eastAsia="楷体_GB2312" w:cs="宋体"/>
                <w:kern w:val="0"/>
                <w:sz w:val="20"/>
                <w:szCs w:val="20"/>
              </w:rPr>
              <w:t>不存在截留、挤占、挪用、虚列支出等情况。</w:t>
            </w:r>
          </w:p>
        </w:tc>
        <w:tc>
          <w:tcPr>
            <w:tcW w:w="273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r>
              <w:rPr>
                <w:rFonts w:ascii="楷体_GB2312" w:hAnsi="宋体" w:eastAsia="楷体_GB2312" w:cs="宋体"/>
                <w:kern w:val="0"/>
                <w:sz w:val="20"/>
                <w:szCs w:val="20"/>
              </w:rPr>
              <w:t>,</w:t>
            </w:r>
            <w:r>
              <w:rPr>
                <w:rFonts w:hint="eastAsia" w:ascii="楷体_GB2312" w:hAnsi="宋体" w:eastAsia="楷体_GB2312" w:cs="宋体"/>
                <w:kern w:val="0"/>
                <w:sz w:val="20"/>
                <w:szCs w:val="20"/>
              </w:rPr>
              <w:t>有</w:t>
            </w:r>
            <w:r>
              <w:rPr>
                <w:rFonts w:ascii="楷体_GB2312" w:hAnsi="宋体" w:eastAsia="楷体_GB2312" w:cs="宋体"/>
                <w:kern w:val="0"/>
                <w:sz w:val="20"/>
                <w:szCs w:val="20"/>
              </w:rPr>
              <w:t>1</w:t>
            </w:r>
            <w:r>
              <w:rPr>
                <w:rFonts w:hint="eastAsia" w:ascii="楷体_GB2312" w:hAnsi="宋体" w:eastAsia="楷体_GB2312" w:cs="宋体"/>
                <w:kern w:val="0"/>
                <w:sz w:val="20"/>
                <w:szCs w:val="20"/>
              </w:rPr>
              <w:t>项不符扣</w:t>
            </w:r>
            <w:r>
              <w:rPr>
                <w:rFonts w:ascii="楷体_GB2312" w:hAnsi="宋体" w:eastAsia="楷体_GB2312" w:cs="宋体"/>
                <w:kern w:val="0"/>
                <w:sz w:val="20"/>
                <w:szCs w:val="20"/>
              </w:rPr>
              <w:t>2</w:t>
            </w:r>
            <w:r>
              <w:rPr>
                <w:rFonts w:hint="eastAsia" w:ascii="楷体_GB2312" w:hAnsi="宋体" w:eastAsia="楷体_GB2312" w:cs="宋体"/>
                <w:kern w:val="0"/>
                <w:sz w:val="20"/>
                <w:szCs w:val="20"/>
              </w:rPr>
              <w:t>分。</w:t>
            </w: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100%</w:t>
            </w: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100%</w:t>
            </w:r>
            <w:r>
              <w:rPr>
                <w:rFonts w:hint="eastAsia" w:ascii="楷体_GB2312" w:hAnsi="宋体" w:eastAsia="楷体_GB2312" w:cs="宋体"/>
                <w:kern w:val="0"/>
                <w:sz w:val="20"/>
                <w:szCs w:val="20"/>
              </w:rPr>
              <w:t>　</w:t>
            </w:r>
          </w:p>
        </w:tc>
        <w:tc>
          <w:tcPr>
            <w:tcW w:w="1057"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5</w:t>
            </w:r>
            <w:r>
              <w:rPr>
                <w:rFonts w:hint="eastAsia" w:ascii="楷体_GB2312" w:hAnsi="宋体" w:eastAsia="楷体_GB2312" w:cs="宋体"/>
                <w:kern w:val="0"/>
                <w:sz w:val="20"/>
                <w:szCs w:val="20"/>
              </w:rPr>
              <w:t>　</w:t>
            </w:r>
          </w:p>
        </w:tc>
        <w:tc>
          <w:tcPr>
            <w:tcW w:w="1358"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135" w:hRule="atLeast"/>
        </w:trPr>
        <w:tc>
          <w:tcPr>
            <w:tcW w:w="56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效果</w:t>
            </w: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履职尽责（</w:t>
            </w:r>
            <w:r>
              <w:rPr>
                <w:rFonts w:ascii="楷体_GB2312" w:hAnsi="宋体" w:eastAsia="楷体_GB2312" w:cs="宋体"/>
                <w:kern w:val="0"/>
                <w:sz w:val="20"/>
                <w:szCs w:val="20"/>
              </w:rPr>
              <w:t>60</w:t>
            </w:r>
            <w:r>
              <w:rPr>
                <w:rFonts w:hint="eastAsia" w:ascii="楷体_GB2312" w:hAnsi="宋体" w:eastAsia="楷体_GB2312" w:cs="宋体"/>
                <w:kern w:val="0"/>
                <w:sz w:val="20"/>
                <w:szCs w:val="20"/>
              </w:rPr>
              <w:t>分）</w:t>
            </w: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项目产出</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40</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40</w:t>
            </w:r>
          </w:p>
        </w:tc>
        <w:tc>
          <w:tcPr>
            <w:tcW w:w="2774"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2730" w:type="dxa"/>
            <w:vMerge w:val="restart"/>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1.</w:t>
            </w:r>
            <w:r>
              <w:rPr>
                <w:rFonts w:hint="eastAsia" w:ascii="楷体_GB2312" w:hAnsi="宋体" w:eastAsia="楷体_GB2312" w:cs="宋体"/>
                <w:kern w:val="0"/>
                <w:sz w:val="20"/>
                <w:szCs w:val="20"/>
              </w:rPr>
              <w:t>若为定性指标，根据“三档”原则分别按照指标分值的</w:t>
            </w:r>
            <w:r>
              <w:rPr>
                <w:rFonts w:ascii="楷体_GB2312" w:hAnsi="宋体" w:eastAsia="楷体_GB2312" w:cs="宋体"/>
                <w:kern w:val="0"/>
                <w:sz w:val="20"/>
                <w:szCs w:val="20"/>
              </w:rPr>
              <w:t>100-80%</w:t>
            </w:r>
            <w:r>
              <w:rPr>
                <w:rFonts w:hint="eastAsia" w:ascii="楷体_GB2312" w:hAnsi="宋体" w:eastAsia="楷体_GB2312" w:cs="宋体"/>
                <w:kern w:val="0"/>
                <w:sz w:val="20"/>
                <w:szCs w:val="20"/>
              </w:rPr>
              <w:t>（含）、</w:t>
            </w:r>
            <w:r>
              <w:rPr>
                <w:rFonts w:ascii="楷体_GB2312" w:hAnsi="宋体" w:eastAsia="楷体_GB2312" w:cs="宋体"/>
                <w:kern w:val="0"/>
                <w:sz w:val="20"/>
                <w:szCs w:val="20"/>
              </w:rPr>
              <w:t>80-50%</w:t>
            </w:r>
            <w:r>
              <w:rPr>
                <w:rFonts w:hint="eastAsia" w:ascii="楷体_GB2312" w:hAnsi="宋体" w:eastAsia="楷体_GB2312" w:cs="宋体"/>
                <w:kern w:val="0"/>
                <w:sz w:val="20"/>
                <w:szCs w:val="20"/>
              </w:rPr>
              <w:t>（含）、</w:t>
            </w:r>
            <w:r>
              <w:rPr>
                <w:rFonts w:ascii="楷体_GB2312" w:hAnsi="宋体" w:eastAsia="楷体_GB2312" w:cs="宋体"/>
                <w:kern w:val="0"/>
                <w:sz w:val="20"/>
                <w:szCs w:val="20"/>
              </w:rPr>
              <w:t>50-10%</w:t>
            </w:r>
            <w:r>
              <w:rPr>
                <w:rFonts w:hint="eastAsia" w:ascii="楷体_GB2312" w:hAnsi="宋体" w:eastAsia="楷体_GB2312" w:cs="宋体"/>
                <w:kern w:val="0"/>
                <w:sz w:val="20"/>
                <w:szCs w:val="20"/>
              </w:rPr>
              <w:t>来记分；</w:t>
            </w:r>
            <w:r>
              <w:rPr>
                <w:rFonts w:ascii="楷体_GB2312" w:hAnsi="宋体" w:eastAsia="楷体_GB2312" w:cs="宋体"/>
                <w:kern w:val="0"/>
                <w:sz w:val="20"/>
                <w:szCs w:val="20"/>
              </w:rPr>
              <w:br w:type="textWrapping"/>
            </w:r>
            <w:r>
              <w:rPr>
                <w:rFonts w:ascii="楷体_GB2312" w:hAnsi="宋体" w:eastAsia="楷体_GB2312" w:cs="宋体"/>
                <w:kern w:val="0"/>
                <w:sz w:val="20"/>
                <w:szCs w:val="20"/>
              </w:rPr>
              <w:t>2.</w:t>
            </w:r>
            <w:r>
              <w:rPr>
                <w:rFonts w:hint="eastAsia" w:ascii="楷体_GB2312" w:hAnsi="宋体" w:eastAsia="楷体_GB2312" w:cs="宋体"/>
                <w:kern w:val="0"/>
                <w:sz w:val="20"/>
                <w:szCs w:val="20"/>
              </w:rPr>
              <w:t>若为定量指标，完成值达到指标值，记满分；未达到指标值，按完成比率计分，正向指标（即指标值为≥</w:t>
            </w:r>
            <w:r>
              <w:rPr>
                <w:rFonts w:ascii="楷体_GB2312" w:hAnsi="宋体" w:eastAsia="楷体_GB2312" w:cs="宋体"/>
                <w:kern w:val="0"/>
                <w:sz w:val="20"/>
                <w:szCs w:val="20"/>
              </w:rPr>
              <w:t>*</w:t>
            </w:r>
            <w:r>
              <w:rPr>
                <w:rFonts w:hint="eastAsia" w:ascii="楷体_GB2312" w:hAnsi="宋体" w:eastAsia="楷体_GB2312" w:cs="宋体"/>
                <w:kern w:val="0"/>
                <w:sz w:val="20"/>
                <w:szCs w:val="20"/>
              </w:rPr>
              <w:t>）得分＝实际完成值</w:t>
            </w:r>
            <w:r>
              <w:rPr>
                <w:rFonts w:ascii="楷体_GB2312" w:hAnsi="宋体" w:eastAsia="楷体_GB2312" w:cs="宋体"/>
                <w:kern w:val="0"/>
                <w:sz w:val="20"/>
                <w:szCs w:val="20"/>
              </w:rPr>
              <w:t>/</w:t>
            </w:r>
            <w:r>
              <w:rPr>
                <w:rFonts w:hint="eastAsia" w:ascii="楷体_GB2312" w:hAnsi="宋体" w:eastAsia="楷体_GB2312" w:cs="宋体"/>
                <w:kern w:val="0"/>
                <w:sz w:val="20"/>
                <w:szCs w:val="20"/>
              </w:rPr>
              <w:t>年初目标值</w:t>
            </w:r>
            <w:r>
              <w:rPr>
                <w:rFonts w:ascii="楷体_GB2312" w:hAnsi="宋体" w:eastAsia="楷体_GB2312" w:cs="宋体"/>
                <w:kern w:val="0"/>
                <w:sz w:val="20"/>
                <w:szCs w:val="20"/>
              </w:rPr>
              <w:t>*</w:t>
            </w:r>
            <w:r>
              <w:rPr>
                <w:rFonts w:hint="eastAsia" w:ascii="楷体_GB2312" w:hAnsi="宋体" w:eastAsia="楷体_GB2312" w:cs="宋体"/>
                <w:kern w:val="0"/>
                <w:sz w:val="20"/>
                <w:szCs w:val="20"/>
              </w:rPr>
              <w:t>该指标分值，反向指标（即指标值为≤</w:t>
            </w:r>
            <w:r>
              <w:rPr>
                <w:rFonts w:ascii="楷体_GB2312" w:hAnsi="宋体" w:eastAsia="楷体_GB2312" w:cs="宋体"/>
                <w:kern w:val="0"/>
                <w:sz w:val="20"/>
                <w:szCs w:val="20"/>
              </w:rPr>
              <w:t>*</w:t>
            </w:r>
            <w:r>
              <w:rPr>
                <w:rFonts w:hint="eastAsia" w:ascii="楷体_GB2312" w:hAnsi="宋体" w:eastAsia="楷体_GB2312" w:cs="宋体"/>
                <w:kern w:val="0"/>
                <w:sz w:val="20"/>
                <w:szCs w:val="20"/>
              </w:rPr>
              <w:t>）得分＝年初目标值</w:t>
            </w:r>
            <w:r>
              <w:rPr>
                <w:rFonts w:ascii="楷体_GB2312" w:hAnsi="宋体" w:eastAsia="楷体_GB2312" w:cs="宋体"/>
                <w:kern w:val="0"/>
                <w:sz w:val="20"/>
                <w:szCs w:val="20"/>
              </w:rPr>
              <w:t>/</w:t>
            </w:r>
            <w:r>
              <w:rPr>
                <w:rFonts w:hint="eastAsia" w:ascii="楷体_GB2312" w:hAnsi="宋体" w:eastAsia="楷体_GB2312" w:cs="宋体"/>
                <w:kern w:val="0"/>
                <w:sz w:val="20"/>
                <w:szCs w:val="20"/>
              </w:rPr>
              <w:t>实际完成值</w:t>
            </w:r>
            <w:r>
              <w:rPr>
                <w:rFonts w:ascii="楷体_GB2312" w:hAnsi="宋体" w:eastAsia="楷体_GB2312" w:cs="宋体"/>
                <w:kern w:val="0"/>
                <w:sz w:val="20"/>
                <w:szCs w:val="20"/>
              </w:rPr>
              <w:t>*</w:t>
            </w:r>
            <w:r>
              <w:rPr>
                <w:rFonts w:hint="eastAsia" w:ascii="楷体_GB2312" w:hAnsi="宋体" w:eastAsia="楷体_GB2312" w:cs="宋体"/>
                <w:kern w:val="0"/>
                <w:sz w:val="20"/>
                <w:szCs w:val="20"/>
              </w:rPr>
              <w:t>该指标分值。</w:t>
            </w: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r>
              <w:rPr>
                <w:rFonts w:ascii="楷体_GB2312" w:hAnsi="宋体" w:eastAsia="楷体_GB2312" w:cs="宋体"/>
                <w:kern w:val="0"/>
                <w:sz w:val="20"/>
                <w:szCs w:val="20"/>
              </w:rPr>
              <w:t>100%</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99</w:t>
            </w:r>
            <w:r>
              <w:rPr>
                <w:rFonts w:ascii="楷体_GB2312" w:hAnsi="宋体" w:eastAsia="楷体_GB2312" w:cs="宋体"/>
                <w:kern w:val="0"/>
                <w:sz w:val="20"/>
                <w:szCs w:val="20"/>
              </w:rPr>
              <w:t>%</w:t>
            </w:r>
            <w:r>
              <w:rPr>
                <w:rFonts w:hint="eastAsia" w:ascii="楷体_GB2312" w:hAnsi="宋体" w:eastAsia="楷体_GB2312" w:cs="宋体"/>
                <w:kern w:val="0"/>
                <w:sz w:val="20"/>
                <w:szCs w:val="20"/>
              </w:rPr>
              <w:t>　</w:t>
            </w:r>
          </w:p>
        </w:tc>
        <w:tc>
          <w:tcPr>
            <w:tcW w:w="1057" w:type="dxa"/>
            <w:tcBorders>
              <w:top w:val="nil"/>
              <w:left w:val="nil"/>
              <w:bottom w:val="single" w:color="auto" w:sz="4" w:space="0"/>
              <w:right w:val="single" w:color="auto" w:sz="4" w:space="0"/>
            </w:tcBorders>
            <w:vAlign w:val="center"/>
          </w:tcPr>
          <w:p>
            <w:pPr>
              <w:widowControl/>
              <w:jc w:val="left"/>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39</w:t>
            </w:r>
          </w:p>
        </w:tc>
        <w:tc>
          <w:tcPr>
            <w:tcW w:w="1358"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63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项目效益</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20</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20</w:t>
            </w:r>
          </w:p>
        </w:tc>
        <w:tc>
          <w:tcPr>
            <w:tcW w:w="2774"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273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r>
              <w:rPr>
                <w:rFonts w:ascii="楷体_GB2312" w:hAnsi="宋体" w:eastAsia="楷体_GB2312" w:cs="宋体"/>
                <w:kern w:val="0"/>
                <w:sz w:val="20"/>
                <w:szCs w:val="20"/>
              </w:rPr>
              <w:t>100%</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100%</w:t>
            </w:r>
            <w:r>
              <w:rPr>
                <w:rFonts w:hint="eastAsia" w:ascii="楷体_GB2312" w:hAnsi="宋体" w:eastAsia="楷体_GB2312" w:cs="宋体"/>
                <w:kern w:val="0"/>
                <w:sz w:val="20"/>
                <w:szCs w:val="20"/>
              </w:rPr>
              <w:t>　</w:t>
            </w:r>
          </w:p>
        </w:tc>
        <w:tc>
          <w:tcPr>
            <w:tcW w:w="1057"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20</w:t>
            </w:r>
            <w:r>
              <w:rPr>
                <w:rFonts w:hint="eastAsia" w:ascii="楷体_GB2312" w:hAnsi="宋体" w:eastAsia="楷体_GB2312" w:cs="宋体"/>
                <w:kern w:val="0"/>
                <w:sz w:val="20"/>
                <w:szCs w:val="20"/>
              </w:rPr>
              <w:t>　</w:t>
            </w:r>
          </w:p>
        </w:tc>
        <w:tc>
          <w:tcPr>
            <w:tcW w:w="1358"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r>
    </w:tbl>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r>
        <w:rPr>
          <w:rFonts w:hint="eastAsia" w:ascii="宋体" w:hAnsi="宋体" w:cs="宋体"/>
          <w:kern w:val="0"/>
          <w:sz w:val="20"/>
          <w:szCs w:val="20"/>
        </w:rPr>
        <w:t>备注：</w:t>
      </w:r>
      <w:r>
        <w:rPr>
          <w:rFonts w:ascii="宋体" w:cs="宋体"/>
          <w:kern w:val="0"/>
          <w:sz w:val="20"/>
          <w:szCs w:val="20"/>
        </w:rPr>
        <w:br w:type="textWrapping"/>
      </w:r>
      <w:r>
        <w:rPr>
          <w:rFonts w:ascii="宋体" w:hAnsi="宋体" w:cs="宋体"/>
          <w:kern w:val="0"/>
          <w:sz w:val="20"/>
          <w:szCs w:val="20"/>
        </w:rPr>
        <w:t>1.</w:t>
      </w:r>
      <w:r>
        <w:rPr>
          <w:rFonts w:hint="eastAsia" w:ascii="宋体" w:hAnsi="宋体" w:cs="宋体"/>
          <w:kern w:val="0"/>
          <w:sz w:val="20"/>
          <w:szCs w:val="20"/>
        </w:rPr>
        <w:t>“项目产出”和“项目效果”直接细化成部门年初绩效目标中的指标，并根据重要程度赋权。</w:t>
      </w:r>
      <w:r>
        <w:rPr>
          <w:rFonts w:asci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p>
      <w:pPr>
        <w:widowControl/>
        <w:jc w:val="left"/>
        <w:rPr>
          <w:rFonts w:ascii="楷体" w:hAnsi="楷体" w:eastAsia="楷体" w:cs="楷体"/>
          <w:sz w:val="32"/>
          <w:szCs w:val="32"/>
        </w:rPr>
      </w:pPr>
    </w:p>
    <w:p>
      <w:pPr>
        <w:tabs>
          <w:tab w:val="left" w:pos="2160"/>
        </w:tabs>
        <w:rPr>
          <w:rFonts w:ascii="楷体" w:hAnsi="楷体" w:eastAsia="楷体" w:cs="楷体"/>
          <w:sz w:val="32"/>
          <w:szCs w:val="32"/>
        </w:rPr>
      </w:pPr>
      <w:r>
        <w:rPr>
          <w:rFonts w:ascii="楷体" w:hAnsi="楷体" w:eastAsia="楷体" w:cs="楷体"/>
          <w:sz w:val="32"/>
          <w:szCs w:val="32"/>
        </w:rPr>
        <w:tab/>
      </w:r>
    </w:p>
    <w:p>
      <w:pPr>
        <w:widowControl/>
        <w:jc w:val="left"/>
        <w:rPr>
          <w:rFonts w:ascii="楷体" w:hAnsi="楷体" w:eastAsia="楷体" w:cs="楷体"/>
          <w:sz w:val="32"/>
          <w:szCs w:val="32"/>
        </w:rPr>
        <w:sectPr>
          <w:footerReference r:id="rId3" w:type="default"/>
          <w:pgSz w:w="16838" w:h="11906" w:orient="landscape"/>
          <w:pgMar w:top="1588" w:right="2098" w:bottom="1474" w:left="1985" w:header="851" w:footer="992" w:gutter="0"/>
          <w:cols w:space="0" w:num="1"/>
          <w:docGrid w:type="lines" w:linePitch="315" w:charSpace="0"/>
        </w:sectPr>
      </w:pPr>
    </w:p>
    <w:p>
      <w:pPr>
        <w:ind w:firstLine="640" w:firstLineChars="200"/>
        <w:rPr>
          <w:rFonts w:ascii="黑体" w:hAnsi="黑体" w:eastAsia="黑体"/>
          <w:sz w:val="32"/>
          <w:szCs w:val="32"/>
        </w:rPr>
      </w:pPr>
      <w:r>
        <w:rPr>
          <w:rFonts w:hint="eastAsia" w:ascii="黑体" w:hAnsi="黑体" w:eastAsia="黑体"/>
          <w:color w:val="000000"/>
          <w:kern w:val="0"/>
          <w:sz w:val="32"/>
          <w:szCs w:val="32"/>
          <w:lang w:bidi="ar"/>
        </w:rPr>
        <w:t>十一、其他重要事项说明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20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19.37</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97</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基本持平。</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2019年本部门政府采购支出总额共14.05万元，其中政府采购货物类支出14.05万元、政府采购服务类支出0万元、政府采购工程类支出0万元。</w:t>
      </w:r>
      <w:r>
        <w:rPr>
          <w:rFonts w:ascii="仿宋_GB2312" w:hAnsi="宋体" w:eastAsia="仿宋_GB2312" w:cs="仿宋_GB2312"/>
          <w:color w:val="000000"/>
          <w:kern w:val="0"/>
          <w:sz w:val="32"/>
          <w:szCs w:val="32"/>
          <w:lang w:bidi="ar"/>
        </w:rPr>
        <w:t>授予中小企业合同金额</w:t>
      </w:r>
      <w:r>
        <w:rPr>
          <w:rFonts w:hint="eastAsia" w:ascii="仿宋_GB2312" w:hAnsi="宋体" w:eastAsia="仿宋_GB2312" w:cs="仿宋_GB2312"/>
          <w:color w:val="000000"/>
          <w:kern w:val="0"/>
          <w:sz w:val="32"/>
          <w:szCs w:val="32"/>
          <w:lang w:bidi="ar"/>
        </w:rPr>
        <w:t>14.05</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%，其中：授予小微企业合同金额</w:t>
      </w:r>
      <w:r>
        <w:rPr>
          <w:rFonts w:hint="eastAsia" w:ascii="仿宋_GB2312" w:hAnsi="宋体" w:eastAsia="仿宋_GB2312" w:cs="仿宋_GB2312"/>
          <w:color w:val="000000"/>
          <w:kern w:val="0"/>
          <w:sz w:val="32"/>
          <w:szCs w:val="32"/>
          <w:lang w:bidi="ar"/>
        </w:rPr>
        <w:t>14.05</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截至2019年末，本部门机关及所属单位共有车辆2辆；单价50万元以上的通用设备0台（套）；单价100万元以上的专用设备0台（套）。201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073A3D"/>
    <w:rsid w:val="00086ED4"/>
    <w:rsid w:val="000E5DEE"/>
    <w:rsid w:val="00100CD0"/>
    <w:rsid w:val="00146787"/>
    <w:rsid w:val="00164001"/>
    <w:rsid w:val="00171ED7"/>
    <w:rsid w:val="001A69B5"/>
    <w:rsid w:val="001C6D28"/>
    <w:rsid w:val="001D7568"/>
    <w:rsid w:val="001E4141"/>
    <w:rsid w:val="001F4A8A"/>
    <w:rsid w:val="002069F0"/>
    <w:rsid w:val="002424C8"/>
    <w:rsid w:val="0027244E"/>
    <w:rsid w:val="002A7893"/>
    <w:rsid w:val="003364E9"/>
    <w:rsid w:val="00340626"/>
    <w:rsid w:val="0034200D"/>
    <w:rsid w:val="00355255"/>
    <w:rsid w:val="00361980"/>
    <w:rsid w:val="00363E53"/>
    <w:rsid w:val="00377A74"/>
    <w:rsid w:val="003D1BC5"/>
    <w:rsid w:val="004029E7"/>
    <w:rsid w:val="00415341"/>
    <w:rsid w:val="00452E2E"/>
    <w:rsid w:val="00471220"/>
    <w:rsid w:val="004815C2"/>
    <w:rsid w:val="004A4547"/>
    <w:rsid w:val="004B6D6E"/>
    <w:rsid w:val="00522F23"/>
    <w:rsid w:val="005266E1"/>
    <w:rsid w:val="0055545D"/>
    <w:rsid w:val="00581DDF"/>
    <w:rsid w:val="0058449E"/>
    <w:rsid w:val="005A5786"/>
    <w:rsid w:val="006377F2"/>
    <w:rsid w:val="00673E57"/>
    <w:rsid w:val="0069498A"/>
    <w:rsid w:val="006D24E6"/>
    <w:rsid w:val="006D2A8A"/>
    <w:rsid w:val="006D7244"/>
    <w:rsid w:val="00700F4A"/>
    <w:rsid w:val="00713751"/>
    <w:rsid w:val="00771089"/>
    <w:rsid w:val="00777FD8"/>
    <w:rsid w:val="007963A5"/>
    <w:rsid w:val="00811D3A"/>
    <w:rsid w:val="00813F4A"/>
    <w:rsid w:val="008278F0"/>
    <w:rsid w:val="008311F8"/>
    <w:rsid w:val="00861188"/>
    <w:rsid w:val="00863391"/>
    <w:rsid w:val="00873626"/>
    <w:rsid w:val="008C7BA5"/>
    <w:rsid w:val="009159A4"/>
    <w:rsid w:val="00960EAF"/>
    <w:rsid w:val="0097291A"/>
    <w:rsid w:val="009910CE"/>
    <w:rsid w:val="00A16410"/>
    <w:rsid w:val="00A20651"/>
    <w:rsid w:val="00A24C48"/>
    <w:rsid w:val="00A35EC8"/>
    <w:rsid w:val="00A45D6E"/>
    <w:rsid w:val="00A83E6D"/>
    <w:rsid w:val="00B237B3"/>
    <w:rsid w:val="00B5257F"/>
    <w:rsid w:val="00B704F4"/>
    <w:rsid w:val="00B80654"/>
    <w:rsid w:val="00C42577"/>
    <w:rsid w:val="00C54ED3"/>
    <w:rsid w:val="00C66A31"/>
    <w:rsid w:val="00C942C5"/>
    <w:rsid w:val="00C94FE2"/>
    <w:rsid w:val="00E0449E"/>
    <w:rsid w:val="00E53736"/>
    <w:rsid w:val="00E649A5"/>
    <w:rsid w:val="00E75B92"/>
    <w:rsid w:val="00E8111E"/>
    <w:rsid w:val="00E81702"/>
    <w:rsid w:val="00E922C0"/>
    <w:rsid w:val="00EC3BE5"/>
    <w:rsid w:val="00F059C0"/>
    <w:rsid w:val="00F23FD5"/>
    <w:rsid w:val="00F50BE6"/>
    <w:rsid w:val="00F542C6"/>
    <w:rsid w:val="00F70E66"/>
    <w:rsid w:val="00F8137E"/>
    <w:rsid w:val="00FA0D10"/>
    <w:rsid w:val="013B79AC"/>
    <w:rsid w:val="027A05D2"/>
    <w:rsid w:val="03AC60C1"/>
    <w:rsid w:val="04A66C42"/>
    <w:rsid w:val="04B03B1B"/>
    <w:rsid w:val="04D0513F"/>
    <w:rsid w:val="080C6ECB"/>
    <w:rsid w:val="0E2A5288"/>
    <w:rsid w:val="0EA57955"/>
    <w:rsid w:val="0F441D41"/>
    <w:rsid w:val="1045315C"/>
    <w:rsid w:val="125E2600"/>
    <w:rsid w:val="132E46A0"/>
    <w:rsid w:val="14411117"/>
    <w:rsid w:val="145D3963"/>
    <w:rsid w:val="15574E95"/>
    <w:rsid w:val="1586116E"/>
    <w:rsid w:val="15D01976"/>
    <w:rsid w:val="16044838"/>
    <w:rsid w:val="18BB4AD7"/>
    <w:rsid w:val="1B4A3FDA"/>
    <w:rsid w:val="1B524C98"/>
    <w:rsid w:val="1C5E2F73"/>
    <w:rsid w:val="1D6E0C0D"/>
    <w:rsid w:val="21E9218E"/>
    <w:rsid w:val="221C15BB"/>
    <w:rsid w:val="230A07F5"/>
    <w:rsid w:val="241A6E64"/>
    <w:rsid w:val="244721A3"/>
    <w:rsid w:val="25F47F70"/>
    <w:rsid w:val="295E665D"/>
    <w:rsid w:val="29785A6B"/>
    <w:rsid w:val="2B2F5C3A"/>
    <w:rsid w:val="2D1F3974"/>
    <w:rsid w:val="2D4C0698"/>
    <w:rsid w:val="2DB52EF2"/>
    <w:rsid w:val="2EFA206B"/>
    <w:rsid w:val="2FDE6734"/>
    <w:rsid w:val="30576C2A"/>
    <w:rsid w:val="31AA6038"/>
    <w:rsid w:val="33887EE3"/>
    <w:rsid w:val="34677C61"/>
    <w:rsid w:val="3A8749BA"/>
    <w:rsid w:val="3B121AD1"/>
    <w:rsid w:val="3CFD0D2E"/>
    <w:rsid w:val="3D183059"/>
    <w:rsid w:val="3D995AFB"/>
    <w:rsid w:val="3EB54950"/>
    <w:rsid w:val="3F0620BE"/>
    <w:rsid w:val="40442F4E"/>
    <w:rsid w:val="40CB0B26"/>
    <w:rsid w:val="41603979"/>
    <w:rsid w:val="41AB16AC"/>
    <w:rsid w:val="41CF436B"/>
    <w:rsid w:val="42171052"/>
    <w:rsid w:val="42AF1215"/>
    <w:rsid w:val="4619368A"/>
    <w:rsid w:val="471F2499"/>
    <w:rsid w:val="4A7111C6"/>
    <w:rsid w:val="4B87060F"/>
    <w:rsid w:val="4D0367AD"/>
    <w:rsid w:val="4D6E0FDF"/>
    <w:rsid w:val="4EE4307A"/>
    <w:rsid w:val="50FF4C44"/>
    <w:rsid w:val="5153143F"/>
    <w:rsid w:val="537F12C6"/>
    <w:rsid w:val="54F12DEE"/>
    <w:rsid w:val="55855400"/>
    <w:rsid w:val="5B8D564A"/>
    <w:rsid w:val="5C560287"/>
    <w:rsid w:val="5DC76E8D"/>
    <w:rsid w:val="61301028"/>
    <w:rsid w:val="61CF4343"/>
    <w:rsid w:val="63A51104"/>
    <w:rsid w:val="65074FBA"/>
    <w:rsid w:val="673C365F"/>
    <w:rsid w:val="681633AA"/>
    <w:rsid w:val="683C224D"/>
    <w:rsid w:val="688A66AD"/>
    <w:rsid w:val="68E21FE3"/>
    <w:rsid w:val="69512523"/>
    <w:rsid w:val="71086DB5"/>
    <w:rsid w:val="71BB46BC"/>
    <w:rsid w:val="73525136"/>
    <w:rsid w:val="73F75223"/>
    <w:rsid w:val="7462467C"/>
    <w:rsid w:val="75AC251C"/>
    <w:rsid w:val="75C31473"/>
    <w:rsid w:val="777656CE"/>
    <w:rsid w:val="77992E4E"/>
    <w:rsid w:val="78A95E38"/>
    <w:rsid w:val="7C3E5E46"/>
    <w:rsid w:val="7C5B5A63"/>
    <w:rsid w:val="7C961393"/>
    <w:rsid w:val="7D121BDA"/>
    <w:rsid w:val="7DCB48FA"/>
    <w:rsid w:val="7E1231AF"/>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index 6"/>
    <w:basedOn w:val="1"/>
    <w:next w:val="1"/>
    <w:qFormat/>
    <w:uiPriority w:val="0"/>
    <w:pPr>
      <w:ind w:left="2100"/>
    </w:pPr>
  </w:style>
  <w:style w:type="paragraph" w:styleId="4">
    <w:name w:val="annotation text"/>
    <w:basedOn w:val="1"/>
    <w:link w:val="14"/>
    <w:qFormat/>
    <w:uiPriority w:val="0"/>
    <w:pPr>
      <w:jc w:val="left"/>
    </w:pPr>
  </w:style>
  <w:style w:type="paragraph" w:styleId="5">
    <w:name w:val="Body Text"/>
    <w:basedOn w:val="1"/>
    <w:qFormat/>
    <w:uiPriority w:val="0"/>
    <w:pPr>
      <w:spacing w:after="12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15"/>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批注文字 字符"/>
    <w:basedOn w:val="12"/>
    <w:link w:val="4"/>
    <w:qFormat/>
    <w:uiPriority w:val="0"/>
    <w:rPr>
      <w:rFonts w:ascii="Calibri" w:hAnsi="Calibri" w:cs="黑体"/>
      <w:kern w:val="2"/>
      <w:sz w:val="21"/>
      <w:szCs w:val="24"/>
    </w:rPr>
  </w:style>
  <w:style w:type="character" w:customStyle="1" w:styleId="15">
    <w:name w:val="批注主题 字符"/>
    <w:basedOn w:val="14"/>
    <w:link w:val="9"/>
    <w:qFormat/>
    <w:uiPriority w:val="0"/>
    <w:rPr>
      <w:rFonts w:ascii="Calibri" w:hAnsi="Calibri" w:cs="黑体"/>
      <w:b/>
      <w:bCs/>
      <w:kern w:val="2"/>
      <w:sz w:val="21"/>
      <w:szCs w:val="24"/>
    </w:rPr>
  </w:style>
  <w:style w:type="character" w:customStyle="1" w:styleId="16">
    <w:name w:val="批注框文本 字符"/>
    <w:basedOn w:val="12"/>
    <w:link w:val="6"/>
    <w:qFormat/>
    <w:uiPriority w:val="0"/>
    <w:rPr>
      <w:rFonts w:ascii="Calibri" w:hAnsi="Calibri" w:cs="黑体"/>
      <w:kern w:val="2"/>
      <w:sz w:val="18"/>
      <w:szCs w:val="18"/>
    </w:rPr>
  </w:style>
  <w:style w:type="character" w:customStyle="1" w:styleId="17">
    <w:name w:val="font51"/>
    <w:basedOn w:val="12"/>
    <w:qFormat/>
    <w:uiPriority w:val="0"/>
    <w:rPr>
      <w:rFonts w:hint="eastAsia" w:ascii="宋体" w:hAnsi="宋体" w:eastAsia="宋体" w:cs="宋体"/>
      <w:color w:val="000000"/>
      <w:sz w:val="17"/>
      <w:szCs w:val="17"/>
      <w:u w:val="none"/>
    </w:rPr>
  </w:style>
  <w:style w:type="character" w:customStyle="1" w:styleId="18">
    <w:name w:val="font61"/>
    <w:basedOn w:val="12"/>
    <w:qFormat/>
    <w:uiPriority w:val="0"/>
    <w:rPr>
      <w:rFonts w:ascii="Courier New" w:hAnsi="Courier New" w:cs="Courier New"/>
      <w:color w:val="000000"/>
      <w:sz w:val="17"/>
      <w:szCs w:val="17"/>
      <w:u w:val="none"/>
    </w:rPr>
  </w:style>
  <w:style w:type="paragraph" w:customStyle="1" w:styleId="19">
    <w:name w:val="标题 #3"/>
    <w:basedOn w:val="1"/>
    <w:qFormat/>
    <w:uiPriority w:val="0"/>
    <w:pPr>
      <w:widowControl w:val="0"/>
      <w:shd w:val="clear" w:color="auto" w:fill="auto"/>
      <w:spacing w:line="590" w:lineRule="exact"/>
      <w:ind w:firstLine="900"/>
      <w:outlineLvl w:val="2"/>
    </w:pPr>
    <w:rPr>
      <w:rFonts w:ascii="宋体" w:hAnsi="宋体" w:eastAsia="宋体" w:cs="宋体"/>
      <w:b/>
      <w:bCs/>
      <w:sz w:val="26"/>
      <w:szCs w:val="26"/>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p\Desktop\&#26032;&#24314;%20Microsoft%20Excel%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p\Desktop\&#26032;&#24314;%20Microsoft%20Excel%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p\Desktop\&#26032;&#24314;%20Microsoft%20Excel%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hp\Desktop\&#26032;&#24314;%20Microsoft%20Excel%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杨陵区司法局收入分析图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Sheet1!$D$6:$D$7</c:f>
              <c:strCache>
                <c:ptCount val="2"/>
                <c:pt idx="0">
                  <c:v>2019年收入</c:v>
                </c:pt>
                <c:pt idx="1">
                  <c:v>2018年收入</c:v>
                </c:pt>
              </c:strCache>
            </c:strRef>
          </c:cat>
          <c:val>
            <c:numRef>
              <c:f>Sheet1!$E$6:$E$7</c:f>
              <c:numCache>
                <c:formatCode>General</c:formatCode>
                <c:ptCount val="2"/>
                <c:pt idx="0">
                  <c:v>474.81</c:v>
                </c:pt>
                <c:pt idx="1">
                  <c:v>499.59</c:v>
                </c:pt>
              </c:numCache>
            </c:numRef>
          </c:val>
        </c:ser>
        <c:dLbls>
          <c:showLegendKey val="0"/>
          <c:showVal val="0"/>
          <c:showCatName val="0"/>
          <c:showSerName val="0"/>
          <c:showPercent val="0"/>
          <c:showBubbleSize val="0"/>
        </c:dLbls>
        <c:gapWidth val="219"/>
        <c:overlap val="-27"/>
        <c:axId val="77294079"/>
        <c:axId val="2118140239"/>
      </c:barChart>
      <c:catAx>
        <c:axId val="7729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8140239"/>
        <c:crosses val="autoZero"/>
        <c:auto val="1"/>
        <c:lblAlgn val="ctr"/>
        <c:lblOffset val="100"/>
        <c:noMultiLvlLbl val="0"/>
      </c:catAx>
      <c:valAx>
        <c:axId val="2118140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94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杨陵区司法局支出分析图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Sheet1!$D$6:$D$7</c:f>
              <c:strCache>
                <c:ptCount val="2"/>
                <c:pt idx="0">
                  <c:v>2019年支出</c:v>
                </c:pt>
                <c:pt idx="1">
                  <c:v>2018年支出</c:v>
                </c:pt>
              </c:strCache>
            </c:strRef>
          </c:cat>
          <c:val>
            <c:numRef>
              <c:f>Sheet1!$E$6:$E$7</c:f>
              <c:numCache>
                <c:formatCode>General</c:formatCode>
                <c:ptCount val="2"/>
                <c:pt idx="0">
                  <c:v>473.33</c:v>
                </c:pt>
                <c:pt idx="1">
                  <c:v>497.08</c:v>
                </c:pt>
              </c:numCache>
            </c:numRef>
          </c:val>
        </c:ser>
        <c:dLbls>
          <c:showLegendKey val="0"/>
          <c:showVal val="0"/>
          <c:showCatName val="0"/>
          <c:showSerName val="0"/>
          <c:showPercent val="0"/>
          <c:showBubbleSize val="0"/>
        </c:dLbls>
        <c:gapWidth val="219"/>
        <c:overlap val="-27"/>
        <c:axId val="77294079"/>
        <c:axId val="2118140239"/>
      </c:barChart>
      <c:catAx>
        <c:axId val="7729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8140239"/>
        <c:crosses val="autoZero"/>
        <c:auto val="1"/>
        <c:lblAlgn val="ctr"/>
        <c:lblOffset val="100"/>
        <c:noMultiLvlLbl val="0"/>
      </c:catAx>
      <c:valAx>
        <c:axId val="2118140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94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杨陵区司法局收入分析图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Sheet2!$E$6:$E$7</c:f>
              <c:strCache>
                <c:ptCount val="2"/>
                <c:pt idx="0">
                  <c:v>财政拨款收入</c:v>
                </c:pt>
                <c:pt idx="1">
                  <c:v>其他收入</c:v>
                </c:pt>
              </c:strCache>
            </c:strRef>
          </c:cat>
          <c:val>
            <c:numRef>
              <c:f>Sheet2!$F$6:$F$7</c:f>
              <c:numCache>
                <c:formatCode>General</c:formatCode>
                <c:ptCount val="2"/>
                <c:pt idx="0">
                  <c:v>401.98</c:v>
                </c:pt>
                <c:pt idx="1">
                  <c:v>72.83</c:v>
                </c:pt>
              </c:numCache>
            </c:numRef>
          </c:val>
        </c:ser>
        <c:dLbls>
          <c:showLegendKey val="0"/>
          <c:showVal val="0"/>
          <c:showCatName val="0"/>
          <c:showSerName val="0"/>
          <c:showPercent val="0"/>
          <c:showBubbleSize val="0"/>
        </c:dLbls>
        <c:gapWidth val="219"/>
        <c:overlap val="-27"/>
        <c:axId val="1029322592"/>
        <c:axId val="937085152"/>
      </c:barChart>
      <c:catAx>
        <c:axId val="102932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7085152"/>
        <c:crosses val="autoZero"/>
        <c:auto val="1"/>
        <c:lblAlgn val="ctr"/>
        <c:lblOffset val="100"/>
        <c:noMultiLvlLbl val="0"/>
      </c:catAx>
      <c:valAx>
        <c:axId val="93708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932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杨陵区司法局支出分析图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Sheet3!$E$6:$E$7</c:f>
              <c:strCache>
                <c:ptCount val="2"/>
                <c:pt idx="0">
                  <c:v>基本支出</c:v>
                </c:pt>
                <c:pt idx="1">
                  <c:v>项目支出</c:v>
                </c:pt>
              </c:strCache>
            </c:strRef>
          </c:cat>
          <c:val>
            <c:numRef>
              <c:f>Sheet3!$F$6:$F$7</c:f>
              <c:numCache>
                <c:formatCode>General</c:formatCode>
                <c:ptCount val="2"/>
                <c:pt idx="0">
                  <c:v>319.24</c:v>
                </c:pt>
                <c:pt idx="1">
                  <c:v>154.09</c:v>
                </c:pt>
              </c:numCache>
            </c:numRef>
          </c:val>
        </c:ser>
        <c:dLbls>
          <c:showLegendKey val="0"/>
          <c:showVal val="0"/>
          <c:showCatName val="0"/>
          <c:showSerName val="0"/>
          <c:showPercent val="0"/>
          <c:showBubbleSize val="0"/>
        </c:dLbls>
        <c:gapWidth val="219"/>
        <c:overlap val="-27"/>
        <c:axId val="1029338992"/>
        <c:axId val="1032778480"/>
      </c:barChart>
      <c:catAx>
        <c:axId val="102933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2778480"/>
        <c:crosses val="autoZero"/>
        <c:auto val="1"/>
        <c:lblAlgn val="ctr"/>
        <c:lblOffset val="100"/>
        <c:noMultiLvlLbl val="0"/>
      </c:catAx>
      <c:valAx>
        <c:axId val="103277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9338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杨陵区司法局财政拨款收入分析图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Sheet4!$D$4:$D$5</c:f>
              <c:strCache>
                <c:ptCount val="2"/>
                <c:pt idx="0">
                  <c:v>2019年财政拨款收入</c:v>
                </c:pt>
                <c:pt idx="1">
                  <c:v>2018年财政拨款收入</c:v>
                </c:pt>
              </c:strCache>
            </c:strRef>
          </c:cat>
          <c:val>
            <c:numRef>
              <c:f>Sheet4!$E$4:$E$5</c:f>
              <c:numCache>
                <c:formatCode>General</c:formatCode>
                <c:ptCount val="2"/>
                <c:pt idx="0">
                  <c:v>401.98</c:v>
                </c:pt>
                <c:pt idx="1">
                  <c:v>406.96</c:v>
                </c:pt>
              </c:numCache>
            </c:numRef>
          </c:val>
        </c:ser>
        <c:dLbls>
          <c:showLegendKey val="0"/>
          <c:showVal val="0"/>
          <c:showCatName val="0"/>
          <c:showSerName val="0"/>
          <c:showPercent val="0"/>
          <c:showBubbleSize val="0"/>
        </c:dLbls>
        <c:gapWidth val="219"/>
        <c:overlap val="-27"/>
        <c:axId val="1104664656"/>
        <c:axId val="1038793744"/>
      </c:barChart>
      <c:catAx>
        <c:axId val="110466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8793744"/>
        <c:crosses val="autoZero"/>
        <c:auto val="1"/>
        <c:lblAlgn val="ctr"/>
        <c:lblOffset val="100"/>
        <c:noMultiLvlLbl val="0"/>
      </c:catAx>
      <c:valAx>
        <c:axId val="1038793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4664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800" b="0" i="0" baseline="0">
                <a:effectLst/>
              </a:rPr>
              <a:t>杨陵区司法局财政拨款</a:t>
            </a:r>
            <a:r>
              <a:rPr lang="zh-CN" altLang="en-US" sz="1800" b="0" i="0" baseline="0">
                <a:effectLst/>
              </a:rPr>
              <a:t>支出</a:t>
            </a:r>
            <a:r>
              <a:rPr lang="zh-CN" altLang="zh-CN" sz="1800" b="0" i="0" baseline="0">
                <a:effectLst/>
              </a:rPr>
              <a:t>分析图</a:t>
            </a:r>
            <a:endParaRPr lang="zh-CN" altLang="zh-CN">
              <a:effectLst/>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Sheet5!$D$3:$D$4</c:f>
              <c:strCache>
                <c:ptCount val="2"/>
                <c:pt idx="0">
                  <c:v>2019年财政拨款支出</c:v>
                </c:pt>
                <c:pt idx="1">
                  <c:v>2018年财政拨款支出</c:v>
                </c:pt>
              </c:strCache>
            </c:strRef>
          </c:cat>
          <c:val>
            <c:numRef>
              <c:f>Sheet5!$E$3:$E$4</c:f>
              <c:numCache>
                <c:formatCode>General</c:formatCode>
                <c:ptCount val="2"/>
                <c:pt idx="0">
                  <c:v>401.99</c:v>
                </c:pt>
                <c:pt idx="1">
                  <c:v>406.95</c:v>
                </c:pt>
              </c:numCache>
            </c:numRef>
          </c:val>
        </c:ser>
        <c:dLbls>
          <c:showLegendKey val="0"/>
          <c:showVal val="0"/>
          <c:showCatName val="0"/>
          <c:showSerName val="0"/>
          <c:showPercent val="0"/>
          <c:showBubbleSize val="0"/>
        </c:dLbls>
        <c:gapWidth val="219"/>
        <c:overlap val="-27"/>
        <c:axId val="1107764656"/>
        <c:axId val="1037170912"/>
      </c:barChart>
      <c:catAx>
        <c:axId val="110776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7170912"/>
        <c:crosses val="autoZero"/>
        <c:auto val="1"/>
        <c:lblAlgn val="ctr"/>
        <c:lblOffset val="100"/>
        <c:noMultiLvlLbl val="0"/>
      </c:catAx>
      <c:valAx>
        <c:axId val="103717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7764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杨陵区司法局支出分析图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Sheet6!$F$5:$F$6</c:f>
              <c:strCache>
                <c:ptCount val="2"/>
                <c:pt idx="0">
                  <c:v>2019年财政拨款支出</c:v>
                </c:pt>
                <c:pt idx="1">
                  <c:v>2019年其他资金支出</c:v>
                </c:pt>
              </c:strCache>
            </c:strRef>
          </c:cat>
          <c:val>
            <c:numRef>
              <c:f>Sheet6!$G$5:$G$6</c:f>
              <c:numCache>
                <c:formatCode>General</c:formatCode>
                <c:ptCount val="2"/>
                <c:pt idx="0">
                  <c:v>401.99</c:v>
                </c:pt>
                <c:pt idx="1">
                  <c:v>71.34</c:v>
                </c:pt>
              </c:numCache>
            </c:numRef>
          </c:val>
        </c:ser>
        <c:dLbls>
          <c:showLegendKey val="0"/>
          <c:showVal val="0"/>
          <c:showCatName val="0"/>
          <c:showSerName val="0"/>
          <c:showPercent val="0"/>
          <c:showBubbleSize val="0"/>
        </c:dLbls>
        <c:gapWidth val="219"/>
        <c:overlap val="-27"/>
        <c:axId val="1111182848"/>
        <c:axId val="1038790832"/>
      </c:barChart>
      <c:catAx>
        <c:axId val="11111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8790832"/>
        <c:crosses val="autoZero"/>
        <c:auto val="1"/>
        <c:lblAlgn val="ctr"/>
        <c:lblOffset val="100"/>
        <c:noMultiLvlLbl val="0"/>
      </c:catAx>
      <c:valAx>
        <c:axId val="103879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11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985A8-5ADF-45B8-A393-6606E6800842}">
  <ds:schemaRefs/>
</ds:datastoreItem>
</file>

<file path=docProps/app.xml><?xml version="1.0" encoding="utf-8"?>
<Properties xmlns="http://schemas.openxmlformats.org/officeDocument/2006/extended-properties" xmlns:vt="http://schemas.openxmlformats.org/officeDocument/2006/docPropsVTypes">
  <Template>Normal</Template>
  <Pages>31</Pages>
  <Words>1530</Words>
  <Characters>8723</Characters>
  <Lines>72</Lines>
  <Paragraphs>20</Paragraphs>
  <TotalTime>1</TotalTime>
  <ScaleCrop>false</ScaleCrop>
  <LinksUpToDate>false</LinksUpToDate>
  <CharactersWithSpaces>10233</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2020-10-13T03:05:00Z</cp:lastPrinted>
  <dcterms:modified xsi:type="dcterms:W3CDTF">2020-10-30T11:04:23Z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