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杨陵区城中村改造办公室</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城中村改造年度计划；负责全区重点项目拆迁安置工作；指导镇办搞好拆迁安置工作;参与全区拆迁补偿安置办法的制定，协调有关部门落实拆迁安置补偿资金；负责组织审定镇办改造方案、城中村改造工作；负责有关改造协议签订、合同审查、改造方案审批、保证金管理等工作；协助改造企业办理改造过程中规划、土地、建设等相关手续；贯彻执行有条件农村居民进城落户政策并组织实施。以及区委、区政府和上级部门交办的其他工作。</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本部门内设机构三个：综合办公室、规划管理科、拆迁安置科。</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纳入2019年本部门决算编制范围的单位共1个，包括部门本级决算。</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杨陵区城中村改造办公室</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截止2019年底，本部门人员编制12人，其中事业编制12人；实有人员11人。</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701"/>
        <w:gridCol w:w="1701"/>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794" w:type="dxa"/>
            <w:vAlign w:val="center"/>
          </w:tcPr>
          <w:p>
            <w:pPr>
              <w:jc w:val="center"/>
              <w:rPr>
                <w:rFonts w:ascii="黑体" w:hAnsi="黑体" w:eastAsia="黑体"/>
                <w:sz w:val="32"/>
                <w:szCs w:val="32"/>
              </w:rPr>
            </w:pPr>
            <w:r>
              <w:rPr>
                <w:rFonts w:hint="eastAsia" w:ascii="黑体" w:hAnsi="黑体" w:eastAsia="黑体"/>
                <w:sz w:val="32"/>
                <w:szCs w:val="32"/>
              </w:rPr>
              <w:t>单位名称</w:t>
            </w:r>
          </w:p>
        </w:tc>
        <w:tc>
          <w:tcPr>
            <w:tcW w:w="1701" w:type="dxa"/>
            <w:vAlign w:val="center"/>
          </w:tcPr>
          <w:p>
            <w:pPr>
              <w:jc w:val="center"/>
              <w:rPr>
                <w:rFonts w:ascii="黑体" w:hAnsi="黑体" w:eastAsia="黑体"/>
                <w:sz w:val="32"/>
                <w:szCs w:val="32"/>
              </w:rPr>
            </w:pPr>
            <w:r>
              <w:rPr>
                <w:rFonts w:ascii="黑体" w:hAnsi="黑体" w:eastAsia="黑体"/>
                <w:sz w:val="32"/>
                <w:szCs w:val="32"/>
              </w:rPr>
              <w:t>人员编制</w:t>
            </w:r>
          </w:p>
        </w:tc>
        <w:tc>
          <w:tcPr>
            <w:tcW w:w="1701" w:type="dxa"/>
            <w:vAlign w:val="center"/>
          </w:tcPr>
          <w:p>
            <w:pPr>
              <w:jc w:val="center"/>
              <w:rPr>
                <w:rFonts w:ascii="黑体" w:hAnsi="黑体" w:eastAsia="黑体"/>
                <w:sz w:val="32"/>
                <w:szCs w:val="32"/>
              </w:rPr>
            </w:pPr>
            <w:r>
              <w:rPr>
                <w:rFonts w:ascii="黑体" w:hAnsi="黑体" w:eastAsia="黑体"/>
                <w:sz w:val="32"/>
                <w:szCs w:val="32"/>
              </w:rPr>
              <w:t>事业编制</w:t>
            </w:r>
          </w:p>
        </w:tc>
        <w:tc>
          <w:tcPr>
            <w:tcW w:w="1763" w:type="dxa"/>
            <w:vAlign w:val="center"/>
          </w:tcPr>
          <w:p>
            <w:pPr>
              <w:jc w:val="center"/>
              <w:rPr>
                <w:rFonts w:ascii="黑体" w:hAnsi="黑体" w:eastAsia="黑体"/>
                <w:sz w:val="32"/>
                <w:szCs w:val="32"/>
              </w:rPr>
            </w:pPr>
            <w:r>
              <w:rPr>
                <w:rFonts w:ascii="黑体" w:hAnsi="黑体" w:eastAsia="黑体"/>
                <w:sz w:val="32"/>
                <w:szCs w:val="32"/>
              </w:rPr>
              <w:t>实有人员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794" w:type="dxa"/>
            <w:vAlign w:val="center"/>
          </w:tcPr>
          <w:p>
            <w:pPr>
              <w:jc w:val="center"/>
              <w:rPr>
                <w:rFonts w:ascii="黑体" w:hAnsi="黑体" w:eastAsia="黑体"/>
                <w:sz w:val="32"/>
                <w:szCs w:val="32"/>
              </w:rPr>
            </w:pPr>
            <w:r>
              <w:rPr>
                <w:rFonts w:hint="eastAsia" w:ascii="仿宋_GB2312" w:hAnsi="仿宋_GB2312" w:eastAsia="仿宋_GB2312" w:cs="仿宋_GB2312"/>
                <w:sz w:val="32"/>
                <w:szCs w:val="32"/>
              </w:rPr>
              <w:t>杨陵区城中村改造办公室</w:t>
            </w:r>
          </w:p>
        </w:tc>
        <w:tc>
          <w:tcPr>
            <w:tcW w:w="1701" w:type="dxa"/>
            <w:vAlign w:val="center"/>
          </w:tcPr>
          <w:p>
            <w:pPr>
              <w:jc w:val="center"/>
              <w:rPr>
                <w:rFonts w:ascii="黑体" w:hAnsi="黑体" w:eastAsia="黑体"/>
                <w:sz w:val="32"/>
                <w:szCs w:val="32"/>
              </w:rPr>
            </w:pPr>
            <w:r>
              <w:rPr>
                <w:rFonts w:hint="eastAsia" w:ascii="黑体" w:hAnsi="黑体" w:eastAsia="黑体"/>
                <w:sz w:val="32"/>
                <w:szCs w:val="32"/>
              </w:rPr>
              <w:t>12</w:t>
            </w:r>
          </w:p>
        </w:tc>
        <w:tc>
          <w:tcPr>
            <w:tcW w:w="1701" w:type="dxa"/>
            <w:vAlign w:val="center"/>
          </w:tcPr>
          <w:p>
            <w:pPr>
              <w:jc w:val="center"/>
              <w:rPr>
                <w:rFonts w:ascii="黑体" w:hAnsi="黑体" w:eastAsia="黑体"/>
                <w:sz w:val="32"/>
                <w:szCs w:val="32"/>
              </w:rPr>
            </w:pPr>
            <w:r>
              <w:rPr>
                <w:rFonts w:hint="eastAsia" w:ascii="黑体" w:hAnsi="黑体" w:eastAsia="黑体"/>
                <w:sz w:val="32"/>
                <w:szCs w:val="32"/>
              </w:rPr>
              <w:t>12</w:t>
            </w:r>
          </w:p>
        </w:tc>
        <w:tc>
          <w:tcPr>
            <w:tcW w:w="1763" w:type="dxa"/>
            <w:vAlign w:val="center"/>
          </w:tcPr>
          <w:p>
            <w:pPr>
              <w:jc w:val="center"/>
              <w:rPr>
                <w:rFonts w:ascii="黑体" w:hAnsi="黑体" w:eastAsia="黑体"/>
                <w:sz w:val="32"/>
                <w:szCs w:val="32"/>
              </w:rPr>
            </w:pPr>
            <w:r>
              <w:rPr>
                <w:rFonts w:hint="eastAsia" w:ascii="黑体" w:hAnsi="黑体" w:eastAsia="黑体"/>
                <w:sz w:val="32"/>
                <w:szCs w:val="32"/>
              </w:rPr>
              <w:t>11</w:t>
            </w:r>
          </w:p>
        </w:tc>
      </w:tr>
    </w:tbl>
    <w:p>
      <w:pPr>
        <w:widowControl/>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ascii="宋体" w:hAnsi="宋体" w:cs="宋体"/>
                <w:color w:val="000000"/>
                <w:sz w:val="24"/>
              </w:rPr>
              <w:t>本单位无</w:t>
            </w:r>
            <w:r>
              <w:rPr>
                <w:rFonts w:hint="eastAsia" w:ascii="宋体" w:hAnsi="宋体" w:cs="宋体"/>
                <w:color w:val="000000"/>
                <w:kern w:val="0"/>
                <w:sz w:val="24"/>
                <w:lang w:bidi="ar"/>
              </w:rPr>
              <w:t>政府性基金预算财政拨款收入支出</w:t>
            </w:r>
          </w:p>
          <w:p>
            <w:pPr>
              <w:jc w:val="center"/>
              <w:rPr>
                <w:rFonts w:ascii="宋体" w:hAnsi="宋体" w:cs="宋体"/>
                <w:color w:val="000000"/>
                <w:sz w:val="24"/>
              </w:rPr>
            </w:pPr>
          </w:p>
        </w:tc>
      </w:tr>
    </w:tbl>
    <w:p>
      <w:pPr>
        <w:widowControl/>
        <w:rPr>
          <w:rFonts w:ascii="黑体" w:hAnsi="宋体" w:eastAsia="黑体"/>
          <w:color w:val="000000"/>
          <w:kern w:val="0"/>
          <w:sz w:val="44"/>
          <w:szCs w:val="44"/>
          <w:lang w:bidi="ar"/>
        </w:rPr>
      </w:pPr>
    </w:p>
    <w:p>
      <w:pPr>
        <w:widowControl/>
        <w:jc w:val="center"/>
        <w:textAlignment w:val="center"/>
        <w:rPr>
          <w:rFonts w:ascii="宋体" w:hAnsi="宋体" w:cs="宋体"/>
          <w:b/>
          <w:bCs/>
          <w:sz w:val="32"/>
          <w:szCs w:val="32"/>
        </w:rPr>
      </w:pPr>
    </w:p>
    <w:p>
      <w:pPr>
        <w:widowControl/>
        <w:jc w:val="center"/>
        <w:textAlignment w:val="center"/>
        <w:rPr>
          <w:rFonts w:ascii="宋体" w:hAnsi="宋体" w:cs="宋体"/>
          <w:b/>
          <w:color w:val="000000"/>
          <w:kern w:val="0"/>
          <w:sz w:val="40"/>
          <w:szCs w:val="40"/>
          <w:lang w:bidi="ar"/>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ascii="宋体" w:hAnsi="宋体" w:cs="宋体"/>
                <w:color w:val="000000"/>
                <w:szCs w:val="21"/>
              </w:rPr>
              <w:t>2.27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146.93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ascii="宋体" w:hAnsi="宋体" w:cs="宋体"/>
                <w:color w:val="000000"/>
                <w:kern w:val="0"/>
                <w:szCs w:val="21"/>
              </w:rPr>
              <w:t>146.93</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宋体"/>
                <w:color w:val="000000"/>
                <w:kern w:val="0"/>
                <w:szCs w:val="21"/>
              </w:rPr>
            </w:pPr>
            <w:r>
              <w:rPr>
                <w:rFonts w:ascii="宋体" w:hAnsi="宋体" w:cs="宋体"/>
                <w:color w:val="000000"/>
                <w:kern w:val="0"/>
                <w:szCs w:val="21"/>
              </w:rPr>
              <w:t>146.93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146.93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r>
              <w:rPr>
                <w:rFonts w:ascii="宋体" w:hAnsi="宋体" w:cs="宋体"/>
                <w:color w:val="000000"/>
                <w:kern w:val="0"/>
                <w:szCs w:val="21"/>
              </w:rPr>
              <w:t>146.93</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1356"/>
        <w:gridCol w:w="851"/>
        <w:gridCol w:w="850"/>
        <w:gridCol w:w="709"/>
        <w:gridCol w:w="709"/>
        <w:gridCol w:w="915"/>
        <w:gridCol w:w="750"/>
        <w:gridCol w:w="990"/>
        <w:gridCol w:w="810"/>
      </w:tblGrid>
      <w:tr>
        <w:tblPrEx>
          <w:tblCellMar>
            <w:top w:w="15" w:type="dxa"/>
            <w:left w:w="15" w:type="dxa"/>
            <w:bottom w:w="15" w:type="dxa"/>
            <w:right w:w="15" w:type="dxa"/>
          </w:tblCellMar>
        </w:tblPrEx>
        <w:trPr>
          <w:trHeight w:val="439" w:hRule="atLeast"/>
        </w:trPr>
        <w:tc>
          <w:tcPr>
            <w:tcW w:w="22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56"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 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2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146.93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2.27</w:t>
            </w:r>
          </w:p>
        </w:tc>
      </w:tr>
      <w:tr>
        <w:tblPrEx>
          <w:tblCellMar>
            <w:top w:w="15" w:type="dxa"/>
            <w:left w:w="15" w:type="dxa"/>
            <w:bottom w:w="15" w:type="dxa"/>
            <w:right w:w="15" w:type="dxa"/>
          </w:tblCellMar>
        </w:tblPrEx>
        <w:trPr>
          <w:trHeight w:val="562"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城乡社区支出</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146.93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2.27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21201</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城乡社区管理事务</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146.93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2.27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2120199</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其他城乡社区管理事务支出</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146.93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2.27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81" w:type="dxa"/>
        <w:tblInd w:w="15" w:type="dxa"/>
        <w:tblLayout w:type="fixed"/>
        <w:tblCellMar>
          <w:top w:w="15" w:type="dxa"/>
          <w:left w:w="15" w:type="dxa"/>
          <w:bottom w:w="15" w:type="dxa"/>
          <w:right w:w="15" w:type="dxa"/>
        </w:tblCellMar>
      </w:tblPr>
      <w:tblGrid>
        <w:gridCol w:w="899"/>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rPr>
          <w:trHeight w:val="372" w:hRule="atLeast"/>
        </w:trPr>
        <w:tc>
          <w:tcPr>
            <w:tcW w:w="22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146.93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城乡社区管理事务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146.93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其他城乡社区管理事务支出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146.93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144.66</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szCs w:val="21"/>
              </w:rPr>
              <w:t>144.66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144.66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144.66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144.66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144.66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144.66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ascii="宋体" w:hAnsi="宋体" w:cs="宋体"/>
                <w:color w:val="000000"/>
                <w:kern w:val="0"/>
                <w:szCs w:val="21"/>
              </w:rPr>
              <w:t>144.66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144.66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144.66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144.66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13</w:t>
            </w:r>
            <w:r>
              <w:rPr>
                <w:rFonts w:hint="eastAsia" w:ascii="宋体" w:hAnsi="宋体" w:cs="宋体"/>
                <w:color w:val="000000"/>
                <w:szCs w:val="21"/>
              </w:rPr>
              <w:t>8</w:t>
            </w:r>
            <w:r>
              <w:rPr>
                <w:rFonts w:ascii="宋体" w:hAnsi="宋体" w:cs="宋体"/>
                <w:color w:val="000000"/>
                <w:szCs w:val="21"/>
              </w:rPr>
              <w:t>.68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21201</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城乡社区管理事务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144.66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13</w:t>
            </w:r>
            <w:r>
              <w:rPr>
                <w:rFonts w:hint="eastAsia" w:ascii="宋体" w:hAnsi="宋体" w:cs="宋体"/>
                <w:color w:val="000000"/>
                <w:szCs w:val="21"/>
              </w:rPr>
              <w:t>8</w:t>
            </w:r>
            <w:r>
              <w:rPr>
                <w:rFonts w:ascii="宋体" w:hAnsi="宋体" w:cs="宋体"/>
                <w:color w:val="000000"/>
                <w:szCs w:val="21"/>
              </w:rPr>
              <w:t>.68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2120199</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其他城乡社区管理事务支出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144.66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13</w:t>
            </w:r>
            <w:r>
              <w:rPr>
                <w:rFonts w:hint="eastAsia" w:ascii="宋体" w:hAnsi="宋体" w:cs="宋体"/>
                <w:color w:val="000000"/>
                <w:szCs w:val="21"/>
              </w:rPr>
              <w:t>8</w:t>
            </w:r>
            <w:r>
              <w:rPr>
                <w:rFonts w:ascii="宋体" w:hAnsi="宋体" w:cs="宋体"/>
                <w:color w:val="000000"/>
                <w:szCs w:val="21"/>
              </w:rPr>
              <w:t>.68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6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144.66</w:t>
            </w:r>
          </w:p>
        </w:tc>
        <w:tc>
          <w:tcPr>
            <w:tcW w:w="1437"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138.68</w:t>
            </w:r>
          </w:p>
        </w:tc>
        <w:tc>
          <w:tcPr>
            <w:tcW w:w="1363"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5.98</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highlight w:val="yellow"/>
              </w:rPr>
            </w:pPr>
          </w:p>
        </w:tc>
      </w:tr>
      <w:tr>
        <w:tblPrEx>
          <w:tblCellMar>
            <w:top w:w="15" w:type="dxa"/>
            <w:left w:w="15" w:type="dxa"/>
            <w:bottom w:w="15" w:type="dxa"/>
            <w:right w:w="15" w:type="dxa"/>
          </w:tblCellMar>
        </w:tblPrEx>
        <w:trPr>
          <w:trHeight w:val="398"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137.68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6"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41.38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5.70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23.95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伙食费补助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36.51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12.68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8"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14.34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维修</w:t>
            </w:r>
            <w:r>
              <w:rPr>
                <w:rFonts w:hint="eastAsia" w:ascii="宋体" w:hAnsi="宋体" w:cs="宋体"/>
                <w:color w:val="000000"/>
                <w:szCs w:val="21"/>
              </w:rPr>
              <w:t>（</w:t>
            </w:r>
            <w:r>
              <w:rPr>
                <w:rFonts w:ascii="宋体" w:hAnsi="宋体" w:cs="宋体"/>
                <w:color w:val="000000"/>
                <w:szCs w:val="21"/>
              </w:rPr>
              <w:t>护</w:t>
            </w:r>
            <w:r>
              <w:rPr>
                <w:rFonts w:hint="eastAsia" w:ascii="宋体" w:hAnsi="宋体" w:cs="宋体"/>
                <w:color w:val="000000"/>
                <w:szCs w:val="21"/>
              </w:rPr>
              <w:t>）</w:t>
            </w:r>
            <w:r>
              <w:rPr>
                <w:rFonts w:ascii="宋体" w:hAnsi="宋体" w:cs="宋体"/>
                <w:color w:val="000000"/>
                <w:szCs w:val="21"/>
              </w:rPr>
              <w:t>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对个人家庭补助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yellow"/>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yellow"/>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0.98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0.98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本年度收入146.93万元，支出146.93万元，收支结余0万元，年末结余0万元。其中：工资福利支出138.68万元；商品和服务支出5.98万元。项目支出2.27万元。上年收入支出161.81万元，收入和支出较上年均减少了9%，原因为项目支出减少。</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701"/>
        <w:gridCol w:w="1843"/>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年度</w:t>
            </w:r>
          </w:p>
        </w:tc>
        <w:tc>
          <w:tcPr>
            <w:tcW w:w="1559" w:type="dxa"/>
            <w:vAlign w:val="center"/>
          </w:tcPr>
          <w:p>
            <w:pPr>
              <w:widowControl/>
              <w:jc w:val="center"/>
              <w:rPr>
                <w:rFonts w:ascii="仿宋_GB2312" w:hAnsi="仿宋" w:eastAsia="仿宋_GB2312"/>
                <w:sz w:val="32"/>
                <w:szCs w:val="32"/>
              </w:rPr>
            </w:pPr>
            <w:r>
              <w:rPr>
                <w:rFonts w:ascii="仿宋_GB2312" w:hAnsi="仿宋" w:eastAsia="仿宋_GB2312"/>
                <w:sz w:val="32"/>
                <w:szCs w:val="32"/>
              </w:rPr>
              <w:t>收入</w:t>
            </w:r>
          </w:p>
        </w:tc>
        <w:tc>
          <w:tcPr>
            <w:tcW w:w="1701"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支出</w:t>
            </w:r>
          </w:p>
        </w:tc>
        <w:tc>
          <w:tcPr>
            <w:tcW w:w="1843"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较上年变化</w:t>
            </w:r>
          </w:p>
        </w:tc>
        <w:tc>
          <w:tcPr>
            <w:tcW w:w="2472" w:type="dxa"/>
            <w:vAlign w:val="center"/>
          </w:tcPr>
          <w:p>
            <w:pPr>
              <w:widowControl/>
              <w:jc w:val="center"/>
              <w:rPr>
                <w:rFonts w:ascii="仿宋_GB2312" w:hAnsi="仿宋" w:eastAsia="仿宋_GB2312"/>
                <w:sz w:val="32"/>
                <w:szCs w:val="32"/>
              </w:rPr>
            </w:pPr>
            <w:r>
              <w:rPr>
                <w:rFonts w:ascii="仿宋_GB2312" w:hAnsi="仿宋" w:eastAsia="仿宋_GB2312"/>
                <w:sz w:val="32"/>
                <w:szCs w:val="32"/>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本年度</w:t>
            </w:r>
          </w:p>
        </w:tc>
        <w:tc>
          <w:tcPr>
            <w:tcW w:w="1559"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146.93</w:t>
            </w:r>
          </w:p>
        </w:tc>
        <w:tc>
          <w:tcPr>
            <w:tcW w:w="1701"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146.93</w:t>
            </w:r>
          </w:p>
        </w:tc>
        <w:tc>
          <w:tcPr>
            <w:tcW w:w="1843" w:type="dxa"/>
            <w:vMerge w:val="restart"/>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减少9%</w:t>
            </w:r>
          </w:p>
        </w:tc>
        <w:tc>
          <w:tcPr>
            <w:tcW w:w="2472" w:type="dxa"/>
            <w:vMerge w:val="restart"/>
            <w:vAlign w:val="center"/>
          </w:tcPr>
          <w:p>
            <w:pPr>
              <w:jc w:val="center"/>
              <w:rPr>
                <w:rFonts w:ascii="仿宋_GB2312" w:hAnsi="仿宋" w:eastAsia="仿宋_GB2312"/>
                <w:sz w:val="32"/>
                <w:szCs w:val="32"/>
              </w:rPr>
            </w:pPr>
            <w:r>
              <w:rPr>
                <w:rFonts w:hint="eastAsia" w:ascii="仿宋_GB2312" w:hAnsi="仿宋" w:eastAsia="仿宋_GB2312"/>
                <w:sz w:val="32"/>
                <w:szCs w:val="32"/>
              </w:rPr>
              <w:t>项目支出减少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上年度</w:t>
            </w:r>
          </w:p>
        </w:tc>
        <w:tc>
          <w:tcPr>
            <w:tcW w:w="1559"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161.81</w:t>
            </w:r>
          </w:p>
        </w:tc>
        <w:tc>
          <w:tcPr>
            <w:tcW w:w="1701"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161.81</w:t>
            </w:r>
          </w:p>
        </w:tc>
        <w:tc>
          <w:tcPr>
            <w:tcW w:w="1843" w:type="dxa"/>
            <w:vMerge w:val="continue"/>
            <w:vAlign w:val="center"/>
          </w:tcPr>
          <w:p>
            <w:pPr>
              <w:widowControl/>
              <w:ind w:firstLine="640" w:firstLineChars="200"/>
              <w:jc w:val="center"/>
              <w:rPr>
                <w:rFonts w:ascii="仿宋_GB2312" w:hAnsi="仿宋" w:eastAsia="仿宋_GB2312"/>
                <w:sz w:val="32"/>
                <w:szCs w:val="32"/>
              </w:rPr>
            </w:pPr>
          </w:p>
        </w:tc>
        <w:tc>
          <w:tcPr>
            <w:tcW w:w="2472" w:type="dxa"/>
            <w:vMerge w:val="continue"/>
            <w:vAlign w:val="center"/>
          </w:tcPr>
          <w:p>
            <w:pPr>
              <w:widowControl/>
              <w:ind w:firstLine="640" w:firstLineChars="200"/>
              <w:jc w:val="center"/>
              <w:rPr>
                <w:rFonts w:ascii="仿宋_GB2312" w:hAnsi="仿宋" w:eastAsia="仿宋_GB2312"/>
                <w:sz w:val="32"/>
                <w:szCs w:val="32"/>
              </w:rPr>
            </w:pPr>
          </w:p>
        </w:tc>
      </w:tr>
    </w:tbl>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年收入合计146.93万元，其中：财政拨款收入</w:t>
      </w:r>
      <w:r>
        <w:rPr>
          <w:rFonts w:hint="eastAsia" w:ascii="仿宋_GB2312" w:hAnsi="宋体" w:eastAsia="仿宋_GB2312" w:cs="仿宋_GB2312"/>
          <w:color w:val="000000"/>
          <w:kern w:val="0"/>
          <w:sz w:val="32"/>
          <w:szCs w:val="32"/>
          <w:lang w:bidi="ar"/>
        </w:rPr>
        <w:t>144.66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98</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bidi="ar"/>
        </w:rPr>
        <w:t>2.27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420" w:firstLineChars="200"/>
        <w:jc w:val="center"/>
      </w:pPr>
      <w:r>
        <w:drawing>
          <wp:inline distT="0" distB="0" distL="0" distR="0">
            <wp:extent cx="4732655" cy="229425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年支出合计146.93万元，其中：基本支出144.66万元，占</w:t>
      </w:r>
      <w:r>
        <w:rPr>
          <w:rFonts w:hint="eastAsia" w:ascii="仿宋_GB2312" w:hAnsi="宋体" w:eastAsia="仿宋_GB2312" w:cs="仿宋_GB2312"/>
          <w:color w:val="000000"/>
          <w:kern w:val="0"/>
          <w:sz w:val="32"/>
          <w:szCs w:val="32"/>
          <w:lang w:bidi="ar"/>
        </w:rPr>
        <w:t>98</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bidi="ar"/>
        </w:rPr>
        <w:t>2.27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w:t>
      </w:r>
    </w:p>
    <w:p>
      <w:pPr>
        <w:widowControl/>
        <w:ind w:firstLine="420" w:firstLineChars="200"/>
        <w:jc w:val="center"/>
      </w:pPr>
      <w:r>
        <w:drawing>
          <wp:inline distT="0" distB="0" distL="0" distR="0">
            <wp:extent cx="4038600" cy="226885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2019年财政拨款收入146.93万元，支出146.93万元，收入和支出较上年均减少了9%，原因为项目支出减少。</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701"/>
        <w:gridCol w:w="1985"/>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年度</w:t>
            </w:r>
          </w:p>
        </w:tc>
        <w:tc>
          <w:tcPr>
            <w:tcW w:w="1559"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财政拨款</w:t>
            </w:r>
            <w:r>
              <w:rPr>
                <w:rFonts w:ascii="仿宋_GB2312" w:hAnsi="仿宋" w:eastAsia="仿宋_GB2312"/>
                <w:sz w:val="32"/>
                <w:szCs w:val="32"/>
              </w:rPr>
              <w:t>收入</w:t>
            </w:r>
          </w:p>
        </w:tc>
        <w:tc>
          <w:tcPr>
            <w:tcW w:w="1701"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财政拨款支出</w:t>
            </w:r>
          </w:p>
        </w:tc>
        <w:tc>
          <w:tcPr>
            <w:tcW w:w="1985" w:type="dxa"/>
            <w:vAlign w:val="center"/>
          </w:tcPr>
          <w:p>
            <w:pPr>
              <w:widowControl/>
              <w:jc w:val="center"/>
              <w:rPr>
                <w:rFonts w:ascii="仿宋_GB2312" w:hAnsi="仿宋" w:eastAsia="仿宋_GB2312"/>
                <w:sz w:val="32"/>
                <w:szCs w:val="32"/>
              </w:rPr>
            </w:pPr>
            <w:r>
              <w:rPr>
                <w:rFonts w:ascii="仿宋_GB2312" w:hAnsi="仿宋" w:eastAsia="仿宋_GB2312"/>
                <w:sz w:val="32"/>
                <w:szCs w:val="32"/>
              </w:rPr>
              <w:t>较上年变化</w:t>
            </w:r>
          </w:p>
        </w:tc>
        <w:tc>
          <w:tcPr>
            <w:tcW w:w="2330" w:type="dxa"/>
            <w:vAlign w:val="center"/>
          </w:tcPr>
          <w:p>
            <w:pPr>
              <w:widowControl/>
              <w:jc w:val="center"/>
              <w:rPr>
                <w:rFonts w:ascii="仿宋_GB2312" w:hAnsi="仿宋" w:eastAsia="仿宋_GB2312"/>
                <w:sz w:val="32"/>
                <w:szCs w:val="32"/>
              </w:rPr>
            </w:pPr>
            <w:r>
              <w:rPr>
                <w:rFonts w:ascii="仿宋_GB2312" w:hAnsi="仿宋" w:eastAsia="仿宋_GB2312"/>
                <w:sz w:val="32"/>
                <w:szCs w:val="32"/>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本年度</w:t>
            </w:r>
          </w:p>
        </w:tc>
        <w:tc>
          <w:tcPr>
            <w:tcW w:w="1559" w:type="dxa"/>
            <w:vAlign w:val="center"/>
          </w:tcPr>
          <w:p>
            <w:pPr>
              <w:widowControl/>
              <w:jc w:val="center"/>
              <w:rPr>
                <w:rFonts w:ascii="仿宋_GB2312" w:hAnsi="仿宋" w:eastAsia="仿宋_GB2312"/>
                <w:sz w:val="32"/>
                <w:szCs w:val="32"/>
                <w:u w:val="single"/>
              </w:rPr>
            </w:pPr>
            <w:r>
              <w:rPr>
                <w:rFonts w:hint="eastAsia" w:ascii="仿宋_GB2312" w:hAnsi="仿宋" w:eastAsia="仿宋_GB2312"/>
                <w:sz w:val="32"/>
                <w:szCs w:val="32"/>
              </w:rPr>
              <w:t>144.66</w:t>
            </w:r>
          </w:p>
        </w:tc>
        <w:tc>
          <w:tcPr>
            <w:tcW w:w="1701" w:type="dxa"/>
            <w:vAlign w:val="center"/>
          </w:tcPr>
          <w:p>
            <w:pPr>
              <w:widowControl/>
              <w:jc w:val="center"/>
              <w:rPr>
                <w:rFonts w:ascii="仿宋_GB2312" w:hAnsi="仿宋" w:eastAsia="仿宋_GB2312"/>
                <w:sz w:val="32"/>
                <w:szCs w:val="32"/>
                <w:u w:val="single"/>
              </w:rPr>
            </w:pPr>
            <w:r>
              <w:rPr>
                <w:rFonts w:hint="eastAsia" w:ascii="仿宋_GB2312" w:hAnsi="仿宋" w:eastAsia="仿宋_GB2312"/>
                <w:sz w:val="32"/>
                <w:szCs w:val="32"/>
              </w:rPr>
              <w:t>144.66</w:t>
            </w:r>
          </w:p>
        </w:tc>
        <w:tc>
          <w:tcPr>
            <w:tcW w:w="1985" w:type="dxa"/>
            <w:vMerge w:val="restart"/>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增加4%</w:t>
            </w:r>
          </w:p>
        </w:tc>
        <w:tc>
          <w:tcPr>
            <w:tcW w:w="2330" w:type="dxa"/>
            <w:vMerge w:val="restart"/>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工资福利支出增加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上年度</w:t>
            </w:r>
          </w:p>
        </w:tc>
        <w:tc>
          <w:tcPr>
            <w:tcW w:w="1559" w:type="dxa"/>
            <w:vAlign w:val="center"/>
          </w:tcPr>
          <w:p>
            <w:pPr>
              <w:widowControl/>
              <w:jc w:val="center"/>
              <w:rPr>
                <w:rFonts w:ascii="仿宋_GB2312" w:hAnsi="仿宋" w:eastAsia="仿宋_GB2312"/>
                <w:sz w:val="32"/>
                <w:szCs w:val="32"/>
                <w:u w:val="single"/>
              </w:rPr>
            </w:pPr>
            <w:r>
              <w:rPr>
                <w:rFonts w:ascii="仿宋_GB2312" w:hAnsi="仿宋" w:eastAsia="仿宋_GB2312"/>
                <w:sz w:val="32"/>
                <w:szCs w:val="32"/>
              </w:rPr>
              <w:t>138.71</w:t>
            </w:r>
          </w:p>
        </w:tc>
        <w:tc>
          <w:tcPr>
            <w:tcW w:w="1701" w:type="dxa"/>
            <w:vAlign w:val="center"/>
          </w:tcPr>
          <w:p>
            <w:pPr>
              <w:widowControl/>
              <w:jc w:val="center"/>
              <w:rPr>
                <w:rFonts w:ascii="仿宋_GB2312" w:hAnsi="仿宋" w:eastAsia="仿宋_GB2312"/>
                <w:sz w:val="32"/>
                <w:szCs w:val="32"/>
                <w:u w:val="single"/>
              </w:rPr>
            </w:pPr>
            <w:r>
              <w:rPr>
                <w:rFonts w:ascii="仿宋_GB2312" w:hAnsi="仿宋" w:eastAsia="仿宋_GB2312"/>
                <w:sz w:val="32"/>
                <w:szCs w:val="32"/>
              </w:rPr>
              <w:t>138.71</w:t>
            </w:r>
          </w:p>
        </w:tc>
        <w:tc>
          <w:tcPr>
            <w:tcW w:w="1985" w:type="dxa"/>
            <w:vMerge w:val="continue"/>
            <w:vAlign w:val="center"/>
          </w:tcPr>
          <w:p>
            <w:pPr>
              <w:widowControl/>
              <w:jc w:val="center"/>
              <w:rPr>
                <w:rFonts w:ascii="仿宋_GB2312" w:hAnsi="仿宋" w:eastAsia="仿宋_GB2312"/>
                <w:sz w:val="32"/>
                <w:szCs w:val="32"/>
              </w:rPr>
            </w:pPr>
          </w:p>
        </w:tc>
        <w:tc>
          <w:tcPr>
            <w:tcW w:w="2330" w:type="dxa"/>
            <w:vMerge w:val="continue"/>
            <w:vAlign w:val="center"/>
          </w:tcPr>
          <w:p>
            <w:pPr>
              <w:widowControl/>
              <w:jc w:val="center"/>
              <w:rPr>
                <w:rFonts w:ascii="仿宋_GB2312" w:hAnsi="仿宋" w:eastAsia="仿宋_GB2312"/>
                <w:sz w:val="32"/>
                <w:szCs w:val="32"/>
              </w:rPr>
            </w:pPr>
          </w:p>
        </w:tc>
      </w:tr>
    </w:tbl>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bidi="ar"/>
        </w:rPr>
        <w:t>144.66</w:t>
      </w:r>
      <w:r>
        <w:rPr>
          <w:rFonts w:ascii="仿宋_GB2312" w:hAnsi="宋体" w:eastAsia="仿宋_GB2312" w:cs="仿宋_GB2312"/>
          <w:color w:val="000000"/>
          <w:kern w:val="0"/>
          <w:sz w:val="32"/>
          <w:szCs w:val="32"/>
          <w:lang w:bidi="ar"/>
        </w:rPr>
        <w:t xml:space="preserve"> 万元，占本年支出合计的</w:t>
      </w:r>
      <w:r>
        <w:rPr>
          <w:rFonts w:hint="eastAsia" w:ascii="仿宋_GB2312" w:hAnsi="宋体" w:eastAsia="仿宋_GB2312" w:cs="仿宋_GB2312"/>
          <w:color w:val="000000"/>
          <w:kern w:val="0"/>
          <w:sz w:val="32"/>
          <w:szCs w:val="32"/>
          <w:lang w:bidi="ar"/>
        </w:rPr>
        <w:t>98</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增加5.95</w:t>
      </w:r>
      <w:r>
        <w:rPr>
          <w:rFonts w:ascii="仿宋_GB2312" w:hAnsi="宋体" w:eastAsia="仿宋_GB2312" w:cs="仿宋_GB2312"/>
          <w:color w:val="000000"/>
          <w:kern w:val="0"/>
          <w:sz w:val="32"/>
          <w:szCs w:val="32"/>
          <w:lang w:bidi="ar"/>
        </w:rPr>
        <w:t>万元，增长</w:t>
      </w: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原因是工资福利支出增加。</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198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年度</w:t>
            </w:r>
          </w:p>
        </w:tc>
        <w:tc>
          <w:tcPr>
            <w:tcW w:w="2693"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支出</w:t>
            </w:r>
          </w:p>
        </w:tc>
        <w:tc>
          <w:tcPr>
            <w:tcW w:w="1985" w:type="dxa"/>
            <w:vAlign w:val="center"/>
          </w:tcPr>
          <w:p>
            <w:pPr>
              <w:widowControl/>
              <w:jc w:val="center"/>
              <w:rPr>
                <w:rFonts w:ascii="仿宋_GB2312" w:hAnsi="仿宋" w:eastAsia="仿宋_GB2312"/>
                <w:sz w:val="32"/>
                <w:szCs w:val="32"/>
              </w:rPr>
            </w:pPr>
            <w:r>
              <w:rPr>
                <w:rFonts w:ascii="仿宋_GB2312" w:hAnsi="仿宋" w:eastAsia="仿宋_GB2312"/>
                <w:sz w:val="32"/>
                <w:szCs w:val="32"/>
              </w:rPr>
              <w:t>较上年变化</w:t>
            </w:r>
          </w:p>
        </w:tc>
        <w:tc>
          <w:tcPr>
            <w:tcW w:w="2835" w:type="dxa"/>
            <w:vAlign w:val="center"/>
          </w:tcPr>
          <w:p>
            <w:pPr>
              <w:widowControl/>
              <w:jc w:val="center"/>
              <w:rPr>
                <w:rFonts w:ascii="仿宋_GB2312" w:hAnsi="仿宋" w:eastAsia="仿宋_GB2312"/>
                <w:sz w:val="32"/>
                <w:szCs w:val="32"/>
              </w:rPr>
            </w:pPr>
            <w:r>
              <w:rPr>
                <w:rFonts w:ascii="仿宋_GB2312" w:hAnsi="仿宋" w:eastAsia="仿宋_GB2312"/>
                <w:sz w:val="32"/>
                <w:szCs w:val="32"/>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本年度</w:t>
            </w:r>
          </w:p>
        </w:tc>
        <w:tc>
          <w:tcPr>
            <w:tcW w:w="2693"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144.66</w:t>
            </w:r>
          </w:p>
        </w:tc>
        <w:tc>
          <w:tcPr>
            <w:tcW w:w="1985" w:type="dxa"/>
            <w:vMerge w:val="restart"/>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增加4%</w:t>
            </w:r>
          </w:p>
        </w:tc>
        <w:tc>
          <w:tcPr>
            <w:tcW w:w="2835" w:type="dxa"/>
            <w:vMerge w:val="restart"/>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工资福利支出增加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84" w:type="dxa"/>
            <w:vAlign w:val="center"/>
          </w:tcPr>
          <w:p>
            <w:pPr>
              <w:widowControl/>
              <w:jc w:val="center"/>
              <w:rPr>
                <w:rFonts w:ascii="仿宋_GB2312" w:hAnsi="仿宋" w:eastAsia="仿宋_GB2312"/>
                <w:sz w:val="32"/>
                <w:szCs w:val="32"/>
              </w:rPr>
            </w:pPr>
            <w:r>
              <w:rPr>
                <w:rFonts w:hint="eastAsia" w:ascii="仿宋_GB2312" w:hAnsi="仿宋" w:eastAsia="仿宋_GB2312"/>
                <w:sz w:val="32"/>
                <w:szCs w:val="32"/>
              </w:rPr>
              <w:t>上年度</w:t>
            </w:r>
          </w:p>
        </w:tc>
        <w:tc>
          <w:tcPr>
            <w:tcW w:w="2693" w:type="dxa"/>
            <w:vAlign w:val="center"/>
          </w:tcPr>
          <w:p>
            <w:pPr>
              <w:widowControl/>
              <w:jc w:val="center"/>
              <w:rPr>
                <w:rFonts w:ascii="仿宋_GB2312" w:hAnsi="仿宋" w:eastAsia="仿宋_GB2312"/>
                <w:sz w:val="32"/>
                <w:szCs w:val="32"/>
              </w:rPr>
            </w:pPr>
            <w:r>
              <w:rPr>
                <w:rFonts w:ascii="仿宋_GB2312" w:hAnsi="仿宋" w:eastAsia="仿宋_GB2312"/>
                <w:sz w:val="32"/>
                <w:szCs w:val="32"/>
              </w:rPr>
              <w:t>138.71</w:t>
            </w:r>
          </w:p>
        </w:tc>
        <w:tc>
          <w:tcPr>
            <w:tcW w:w="1985" w:type="dxa"/>
            <w:vMerge w:val="continue"/>
            <w:vAlign w:val="center"/>
          </w:tcPr>
          <w:p>
            <w:pPr>
              <w:widowControl/>
              <w:jc w:val="center"/>
              <w:rPr>
                <w:rFonts w:ascii="仿宋_GB2312" w:hAnsi="仿宋" w:eastAsia="仿宋_GB2312"/>
                <w:sz w:val="32"/>
                <w:szCs w:val="32"/>
              </w:rPr>
            </w:pPr>
          </w:p>
        </w:tc>
        <w:tc>
          <w:tcPr>
            <w:tcW w:w="2835" w:type="dxa"/>
            <w:vMerge w:val="continue"/>
            <w:vAlign w:val="center"/>
          </w:tcPr>
          <w:p>
            <w:pPr>
              <w:widowControl/>
              <w:jc w:val="center"/>
              <w:rPr>
                <w:rFonts w:ascii="仿宋_GB2312" w:hAnsi="仿宋" w:eastAsia="仿宋_GB2312"/>
                <w:sz w:val="32"/>
                <w:szCs w:val="32"/>
              </w:rPr>
            </w:pPr>
          </w:p>
        </w:tc>
      </w:tr>
    </w:tbl>
    <w:p>
      <w:pPr>
        <w:widowControl/>
        <w:ind w:firstLine="420" w:firstLineChars="200"/>
        <w:jc w:val="left"/>
      </w:pP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ind w:firstLine="640" w:firstLineChars="200"/>
        <w:jc w:val="left"/>
        <w:rPr>
          <w:rFonts w:ascii="宋体" w:hAnsi="宋体" w:cs="Arial"/>
          <w:color w:val="000000"/>
          <w:kern w:val="0"/>
          <w:sz w:val="22"/>
          <w:szCs w:val="22"/>
        </w:rPr>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bidi="ar"/>
        </w:rPr>
        <w:t>145.13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u w:val="none"/>
          <w:lang w:bidi="ar"/>
        </w:rPr>
        <w:t>14</w:t>
      </w:r>
      <w:r>
        <w:rPr>
          <w:rFonts w:hint="eastAsia" w:ascii="仿宋_GB2312" w:hAnsi="宋体" w:eastAsia="仿宋_GB2312" w:cs="仿宋_GB2312"/>
          <w:color w:val="000000"/>
          <w:kern w:val="0"/>
          <w:sz w:val="32"/>
          <w:szCs w:val="32"/>
          <w:u w:val="none"/>
          <w:lang w:val="en-US" w:eastAsia="zh-CN" w:bidi="ar"/>
        </w:rPr>
        <w:t>4.66</w:t>
      </w:r>
      <w:r>
        <w:rPr>
          <w:rFonts w:ascii="仿宋_GB2312" w:hAnsi="宋体" w:eastAsia="仿宋_GB2312" w:cs="仿宋_GB2312"/>
          <w:color w:val="000000"/>
          <w:kern w:val="0"/>
          <w:sz w:val="32"/>
          <w:szCs w:val="32"/>
          <w:u w:val="none"/>
          <w:lang w:bidi="ar"/>
        </w:rPr>
        <w:t>万元，完成年初预算的</w:t>
      </w:r>
      <w:r>
        <w:rPr>
          <w:rFonts w:hint="eastAsia" w:ascii="仿宋_GB2312" w:hAnsi="宋体" w:eastAsia="仿宋_GB2312" w:cs="仿宋_GB2312"/>
          <w:color w:val="000000"/>
          <w:kern w:val="0"/>
          <w:sz w:val="32"/>
          <w:szCs w:val="32"/>
          <w:u w:val="none"/>
          <w:lang w:val="en-US" w:eastAsia="zh-CN" w:bidi="ar"/>
        </w:rPr>
        <w:t>99.68</w:t>
      </w:r>
      <w:r>
        <w:rPr>
          <w:rFonts w:ascii="仿宋_GB2312" w:hAnsi="宋体" w:eastAsia="仿宋_GB2312" w:cs="仿宋_GB2312"/>
          <w:color w:val="000000"/>
          <w:kern w:val="0"/>
          <w:sz w:val="32"/>
          <w:szCs w:val="32"/>
          <w:u w:val="none"/>
          <w:lang w:bidi="ar"/>
        </w:rPr>
        <w:t>%</w:t>
      </w:r>
      <w:r>
        <w:rPr>
          <w:rFonts w:ascii="仿宋_GB2312" w:hAnsi="宋体" w:eastAsia="仿宋_GB2312" w:cs="仿宋_GB2312"/>
          <w:color w:val="000000"/>
          <w:kern w:val="0"/>
          <w:sz w:val="32"/>
          <w:szCs w:val="32"/>
          <w:u w:val="none"/>
          <w:lang w:bidi="ar"/>
        </w:rPr>
        <w:t>。</w:t>
      </w:r>
      <w:r>
        <w:rPr>
          <w:rFonts w:hint="eastAsia" w:ascii="仿宋_GB2312" w:hAnsi="宋体" w:eastAsia="仿宋_GB2312" w:cs="仿宋_GB2312"/>
          <w:color w:val="000000"/>
          <w:kern w:val="0"/>
          <w:sz w:val="32"/>
          <w:szCs w:val="32"/>
          <w:u w:val="none"/>
          <w:lang w:bidi="ar"/>
        </w:rPr>
        <w:t>按照政府功能分类科目，</w:t>
      </w:r>
      <w:r>
        <w:rPr>
          <w:rFonts w:hint="eastAsia" w:ascii="仿宋_GB2312" w:hAnsi="宋体" w:eastAsia="仿宋_GB2312" w:cs="仿宋_GB2312"/>
          <w:color w:val="000000"/>
          <w:kern w:val="0"/>
          <w:sz w:val="32"/>
          <w:szCs w:val="32"/>
          <w:lang w:bidi="ar"/>
        </w:rPr>
        <w:t>其中：工资福利支出137.68万元；商品和服务支出</w:t>
      </w:r>
      <w:r>
        <w:rPr>
          <w:rFonts w:hint="eastAsia" w:ascii="仿宋_GB2312" w:hAnsi="宋体" w:eastAsia="仿宋_GB2312" w:cs="仿宋_GB2312"/>
          <w:color w:val="000000"/>
          <w:kern w:val="0"/>
          <w:sz w:val="32"/>
          <w:szCs w:val="32"/>
          <w:lang w:val="en-US" w:eastAsia="zh-CN" w:bidi="ar"/>
        </w:rPr>
        <w:t>5.36</w:t>
      </w:r>
      <w:r>
        <w:rPr>
          <w:rFonts w:hint="eastAsia" w:ascii="仿宋_GB2312" w:hAnsi="宋体" w:eastAsia="仿宋_GB2312" w:cs="仿宋_GB2312"/>
          <w:color w:val="000000"/>
          <w:kern w:val="0"/>
          <w:sz w:val="32"/>
          <w:szCs w:val="32"/>
          <w:lang w:bidi="ar"/>
        </w:rPr>
        <w:t>万元；对个人和家庭补助支出1.0万元；资本性支出</w:t>
      </w:r>
      <w:r>
        <w:rPr>
          <w:rFonts w:hint="eastAsia" w:ascii="仿宋_GB2312" w:hAnsi="宋体" w:eastAsia="仿宋_GB2312" w:cs="仿宋_GB2312"/>
          <w:color w:val="000000"/>
          <w:kern w:val="0"/>
          <w:sz w:val="32"/>
          <w:szCs w:val="32"/>
          <w:lang w:val="en-US" w:eastAsia="zh-CN" w:bidi="ar"/>
        </w:rPr>
        <w:t>0.62</w:t>
      </w:r>
      <w:r>
        <w:rPr>
          <w:rFonts w:hint="eastAsia" w:ascii="仿宋_GB2312" w:hAnsi="宋体" w:eastAsia="仿宋_GB2312" w:cs="仿宋_GB2312"/>
          <w:color w:val="000000"/>
          <w:kern w:val="0"/>
          <w:sz w:val="32"/>
          <w:szCs w:val="32"/>
          <w:lang w:bidi="ar"/>
        </w:rPr>
        <w:t>万元。</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 w:hAnsi="仿宋" w:eastAsia="仿宋" w:cs="仿宋"/>
          <w:b/>
          <w:bCs/>
          <w:color w:val="000000"/>
          <w:sz w:val="32"/>
          <w:szCs w:val="32"/>
        </w:rPr>
        <w:t>城乡社区支出</w:t>
      </w:r>
      <w:r>
        <w:rPr>
          <w:rFonts w:hint="eastAsia" w:ascii="仿宋" w:hAnsi="仿宋" w:eastAsia="仿宋" w:cs="仿宋"/>
          <w:b/>
          <w:bCs/>
          <w:color w:val="000000"/>
          <w:kern w:val="0"/>
          <w:sz w:val="32"/>
          <w:szCs w:val="32"/>
          <w:lang w:bidi="ar"/>
        </w:rPr>
        <w:t>（类）</w:t>
      </w:r>
      <w:r>
        <w:rPr>
          <w:rFonts w:hint="eastAsia" w:ascii="仿宋" w:hAnsi="仿宋" w:eastAsia="仿宋" w:cs="仿宋"/>
          <w:b/>
          <w:bCs/>
          <w:color w:val="000000"/>
          <w:sz w:val="32"/>
          <w:szCs w:val="32"/>
        </w:rPr>
        <w:t>城乡社区管理事务</w:t>
      </w:r>
      <w:r>
        <w:rPr>
          <w:rFonts w:hint="eastAsia" w:ascii="仿宋" w:hAnsi="仿宋" w:eastAsia="仿宋" w:cs="仿宋"/>
          <w:b/>
          <w:bCs/>
          <w:color w:val="000000"/>
          <w:kern w:val="0"/>
          <w:sz w:val="32"/>
          <w:szCs w:val="32"/>
          <w:lang w:bidi="ar"/>
        </w:rPr>
        <w:t>（款）</w:t>
      </w:r>
      <w:r>
        <w:rPr>
          <w:rFonts w:hint="eastAsia" w:ascii="仿宋" w:hAnsi="仿宋" w:eastAsia="仿宋" w:cs="仿宋"/>
          <w:b/>
          <w:bCs/>
          <w:color w:val="000000"/>
          <w:sz w:val="32"/>
          <w:szCs w:val="32"/>
        </w:rPr>
        <w:t>其他城乡社区管理事务支出</w:t>
      </w:r>
      <w:r>
        <w:rPr>
          <w:rFonts w:hint="eastAsia" w:ascii="仿宋" w:hAnsi="仿宋" w:eastAsia="仿宋" w:cs="仿宋"/>
          <w:b/>
          <w:bCs/>
          <w:color w:val="000000"/>
          <w:kern w:val="0"/>
          <w:sz w:val="32"/>
          <w:szCs w:val="32"/>
          <w:lang w:bidi="ar"/>
        </w:rPr>
        <w:t>（项）</w:t>
      </w:r>
      <w:r>
        <w:rPr>
          <w:rFonts w:ascii="仿宋_GB2312" w:hAnsi="宋体" w:eastAsia="仿宋_GB2312" w:cs="仿宋_GB2312"/>
          <w:b/>
          <w:color w:val="000000"/>
          <w:kern w:val="0"/>
          <w:sz w:val="32"/>
          <w:szCs w:val="32"/>
          <w:lang w:bidi="ar"/>
        </w:rPr>
        <w:t xml:space="preserve">。 </w:t>
      </w:r>
    </w:p>
    <w:p>
      <w:pPr>
        <w:spacing w:line="360" w:lineRule="auto"/>
        <w:ind w:firstLine="640" w:firstLineChars="200"/>
        <w:rPr>
          <w:rFonts w:hint="eastAsia" w:ascii="仿宋_GB2312" w:hAnsi="宋体" w:eastAsia="仿宋_GB2312" w:cs="仿宋_GB2312"/>
          <w:color w:val="000000"/>
          <w:kern w:val="0"/>
          <w:sz w:val="32"/>
          <w:szCs w:val="32"/>
          <w:u w:val="none"/>
          <w:lang w:eastAsia="zh-CN" w:bidi="ar"/>
        </w:rPr>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bidi="ar"/>
        </w:rPr>
        <w:t>145.13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u w:val="none"/>
          <w:lang w:bidi="ar"/>
        </w:rPr>
        <w:t>14</w:t>
      </w:r>
      <w:r>
        <w:rPr>
          <w:rFonts w:hint="eastAsia" w:ascii="仿宋_GB2312" w:hAnsi="宋体" w:eastAsia="仿宋_GB2312" w:cs="仿宋_GB2312"/>
          <w:color w:val="000000"/>
          <w:kern w:val="0"/>
          <w:sz w:val="32"/>
          <w:szCs w:val="32"/>
          <w:u w:val="none"/>
          <w:lang w:val="en-US" w:eastAsia="zh-CN" w:bidi="ar"/>
        </w:rPr>
        <w:t>4.66</w:t>
      </w:r>
      <w:r>
        <w:rPr>
          <w:rFonts w:ascii="仿宋_GB2312" w:hAnsi="宋体" w:eastAsia="仿宋_GB2312" w:cs="仿宋_GB2312"/>
          <w:color w:val="000000"/>
          <w:kern w:val="0"/>
          <w:sz w:val="32"/>
          <w:szCs w:val="32"/>
          <w:u w:val="none"/>
          <w:lang w:bidi="ar"/>
        </w:rPr>
        <w:t>万元，完成年初预算的</w:t>
      </w:r>
      <w:r>
        <w:rPr>
          <w:rFonts w:hint="eastAsia" w:ascii="仿宋_GB2312" w:hAnsi="宋体" w:eastAsia="仿宋_GB2312" w:cs="仿宋_GB2312"/>
          <w:color w:val="000000"/>
          <w:kern w:val="0"/>
          <w:sz w:val="32"/>
          <w:szCs w:val="32"/>
          <w:u w:val="none"/>
          <w:lang w:val="en-US" w:eastAsia="zh-CN" w:bidi="ar"/>
        </w:rPr>
        <w:t>99.68</w:t>
      </w:r>
      <w:r>
        <w:rPr>
          <w:rFonts w:ascii="仿宋_GB2312" w:hAnsi="宋体" w:eastAsia="仿宋_GB2312" w:cs="仿宋_GB2312"/>
          <w:color w:val="000000"/>
          <w:kern w:val="0"/>
          <w:sz w:val="32"/>
          <w:szCs w:val="32"/>
          <w:u w:val="none"/>
          <w:lang w:bidi="ar"/>
        </w:rPr>
        <w:t>%</w:t>
      </w:r>
      <w:r>
        <w:rPr>
          <w:rFonts w:hint="eastAsia" w:ascii="仿宋_GB2312" w:hAnsi="宋体" w:eastAsia="仿宋_GB2312" w:cs="仿宋_GB2312"/>
          <w:color w:val="000000"/>
          <w:kern w:val="0"/>
          <w:sz w:val="32"/>
          <w:szCs w:val="32"/>
          <w:u w:val="none"/>
          <w:lang w:eastAsia="zh-CN" w:bidi="ar"/>
        </w:rPr>
        <w:t>，基本持平。</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bidi="ar"/>
        </w:rPr>
        <w:t>144.66</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bidi="ar"/>
        </w:rPr>
        <w:t>138.68</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bidi="ar"/>
        </w:rPr>
        <w:t>5.98</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bidi="ar"/>
        </w:rPr>
        <w:t>138.68</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：基本工资41.38万元；津贴补贴5.70万元；奖金23.95万元；伙食费补助3.12万元；</w:t>
      </w:r>
    </w:p>
    <w:p>
      <w:pPr>
        <w:widowControl/>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绩效工资36.51万元；机关事业单位基本养老保险缴费12.68万元；住房公积金14.34万元；对个人家庭补助1.0万元。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bidi="ar"/>
        </w:rPr>
        <w:t>5.98</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：办公费0.44万元；印刷费0.31万元；水费0.17万元；电费0.22万元；邮电费</w:t>
      </w:r>
      <w:r>
        <w:rPr>
          <w:rFonts w:hint="eastAsia" w:ascii="仿宋_GB2312" w:hAnsi="宋体" w:eastAsia="仿宋_GB2312" w:cs="仿宋_GB2312"/>
          <w:color w:val="000000"/>
          <w:kern w:val="0"/>
          <w:sz w:val="32"/>
          <w:szCs w:val="32"/>
          <w:lang w:bidi="ar"/>
        </w:rPr>
        <w:tab/>
      </w:r>
      <w:r>
        <w:rPr>
          <w:rFonts w:hint="eastAsia" w:ascii="仿宋_GB2312" w:hAnsi="宋体" w:eastAsia="仿宋_GB2312" w:cs="仿宋_GB2312"/>
          <w:color w:val="000000"/>
          <w:kern w:val="0"/>
          <w:sz w:val="32"/>
          <w:szCs w:val="32"/>
          <w:lang w:bidi="ar"/>
        </w:rPr>
        <w:t>1.86万元；维修（护）费</w:t>
      </w:r>
      <w:r>
        <w:rPr>
          <w:rFonts w:hint="eastAsia" w:ascii="仿宋_GB2312" w:hAnsi="宋体" w:eastAsia="仿宋_GB2312" w:cs="仿宋_GB2312"/>
          <w:color w:val="000000"/>
          <w:kern w:val="0"/>
          <w:sz w:val="32"/>
          <w:szCs w:val="32"/>
          <w:lang w:bidi="ar"/>
        </w:rPr>
        <w:tab/>
      </w:r>
      <w:r>
        <w:rPr>
          <w:rFonts w:hint="eastAsia" w:ascii="仿宋_GB2312" w:hAnsi="宋体" w:eastAsia="仿宋_GB2312" w:cs="仿宋_GB2312"/>
          <w:color w:val="000000"/>
          <w:kern w:val="0"/>
          <w:sz w:val="32"/>
          <w:szCs w:val="32"/>
          <w:lang w:bidi="ar"/>
        </w:rPr>
        <w:t>0.47万元；公务接待费0.06万元；工会经费1.83万元。办公设备购置0.62万元。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bidi="ar"/>
        </w:rPr>
        <w:t>0.98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0.06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6.1</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减少0.92万元，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公务用车上交、公务接待减少。</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年“三公”经费支出为0.06万元，其中，因公出国（境）费用0万元,与上年度一致；公务用车购置费0万元，与上年度一致；公务用车运行维护费0万元，较上年度减少0.86万元，原因为公务车辆已上交；公务接待费0.06万元，与上年度一致，公务接待5批次、人数18人。本部门无因公出国（境）支出。</w:t>
      </w:r>
    </w:p>
    <w:p>
      <w:pPr>
        <w:widowControl/>
        <w:ind w:firstLine="420" w:firstLineChars="200"/>
        <w:jc w:val="center"/>
      </w:pPr>
      <w:r>
        <w:drawing>
          <wp:inline distT="0" distB="0" distL="0" distR="0">
            <wp:extent cx="3556000" cy="2454910"/>
            <wp:effectExtent l="0" t="0" r="25400" b="215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本部门无因公出国（境）支出。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本部门无公务用车购置费用支出。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本部门无公务用车运行维护费用支出。</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5批次，18人次，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0.98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0.06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6.1%，决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减少0.92万元，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严格执行“三公”经费“只减不增”原则。</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本部门无培训费支出。</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本部门无会议费支出。</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本部门无项目，无需绩效评价。</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ind w:firstLine="620" w:firstLineChars="200"/>
        <w:rPr>
          <w:rFonts w:ascii="楷体" w:hAnsi="楷体" w:eastAsia="楷体" w:cs="楷体"/>
          <w:sz w:val="32"/>
          <w:szCs w:val="32"/>
        </w:rPr>
      </w:pPr>
      <w:r>
        <w:rPr>
          <w:rFonts w:hint="eastAsia" w:ascii="仿宋_GB2312" w:hAnsi="仿宋_GB2312" w:eastAsia="仿宋_GB2312" w:cs="仿宋_GB2312"/>
          <w:color w:val="000000"/>
          <w:kern w:val="0"/>
          <w:sz w:val="31"/>
          <w:szCs w:val="31"/>
          <w:lang w:bidi="ar"/>
        </w:rPr>
        <w:t>本部门无项目，无需绩效评价。</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bookmarkStart w:id="0" w:name="_MON_1664087673"/>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576"/>
        <w:gridCol w:w="576"/>
        <w:gridCol w:w="496"/>
        <w:gridCol w:w="2548"/>
        <w:gridCol w:w="1978"/>
        <w:gridCol w:w="1207"/>
        <w:gridCol w:w="782"/>
        <w:gridCol w:w="782"/>
        <w:gridCol w:w="527"/>
        <w:gridCol w:w="1497"/>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174" w:type="dxa"/>
            <w:gridSpan w:val="12"/>
            <w:tcBorders>
              <w:top w:val="nil"/>
              <w:left w:val="nil"/>
              <w:bottom w:val="nil"/>
              <w:right w:val="nil"/>
            </w:tcBorders>
          </w:tcPr>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部门整体支出绩效自评表</w:t>
            </w: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74" w:type="dxa"/>
            <w:gridSpan w:val="12"/>
            <w:tcBorders>
              <w:top w:val="nil"/>
              <w:left w:val="nil"/>
              <w:right w:val="nil"/>
            </w:tcBorders>
          </w:tcPr>
          <w:p>
            <w:pPr>
              <w:spacing w:line="220" w:lineRule="exact"/>
            </w:pPr>
            <w:r>
              <w:rPr>
                <w:rFonts w:hint="eastAsia"/>
              </w:rPr>
              <w:t>填报单位:杨陵区城中村改造办公室                                                       自评得分：95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75" w:type="dxa"/>
            <w:gridSpan w:val="5"/>
          </w:tcPr>
          <w:p>
            <w:pPr>
              <w:spacing w:line="220" w:lineRule="exact"/>
              <w:rPr>
                <w:rFonts w:ascii="楷体" w:hAnsi="楷体" w:eastAsia="楷体"/>
                <w:sz w:val="18"/>
                <w:szCs w:val="18"/>
              </w:rPr>
            </w:pPr>
            <w:r>
              <w:rPr>
                <w:rFonts w:hint="eastAsia" w:ascii="楷体" w:hAnsi="楷体" w:eastAsia="楷体"/>
                <w:sz w:val="18"/>
                <w:szCs w:val="18"/>
              </w:rPr>
              <w:t>（一）简要概述部门职能与职责。</w:t>
            </w:r>
          </w:p>
        </w:tc>
        <w:tc>
          <w:tcPr>
            <w:tcW w:w="8699" w:type="dxa"/>
            <w:gridSpan w:val="7"/>
            <w:tcBorders>
              <w:right w:val="nil"/>
            </w:tcBorders>
          </w:tcPr>
          <w:p>
            <w:pPr>
              <w:spacing w:line="220" w:lineRule="exact"/>
              <w:rPr>
                <w:rFonts w:ascii="楷体" w:hAnsi="楷体" w:eastAsia="楷体"/>
                <w:sz w:val="18"/>
                <w:szCs w:val="18"/>
              </w:rPr>
            </w:pPr>
            <w:r>
              <w:rPr>
                <w:rFonts w:hint="eastAsia" w:ascii="楷体" w:hAnsi="楷体" w:eastAsia="楷体"/>
                <w:sz w:val="18"/>
                <w:szCs w:val="18"/>
              </w:rPr>
              <w:t>负责全区重点项目拆迁安置工作；指导镇办搞好拆迁安置工作;参与全区拆迁补偿安置办法的制定，协调有关部门落实拆迁安置补偿资金；负责组织审定镇办改造方案、城中村改造工作；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75" w:type="dxa"/>
            <w:gridSpan w:val="5"/>
          </w:tcPr>
          <w:p>
            <w:pPr>
              <w:spacing w:line="220" w:lineRule="exact"/>
              <w:rPr>
                <w:rFonts w:ascii="楷体" w:hAnsi="楷体" w:eastAsia="楷体"/>
                <w:sz w:val="18"/>
                <w:szCs w:val="18"/>
              </w:rPr>
            </w:pPr>
            <w:r>
              <w:rPr>
                <w:rFonts w:hint="eastAsia" w:ascii="楷体" w:hAnsi="楷体" w:eastAsia="楷体"/>
                <w:sz w:val="18"/>
                <w:szCs w:val="18"/>
              </w:rPr>
              <w:t>（二）简要概述部门支出情况，按活动内容分类。</w:t>
            </w:r>
          </w:p>
        </w:tc>
        <w:tc>
          <w:tcPr>
            <w:tcW w:w="8699" w:type="dxa"/>
            <w:gridSpan w:val="7"/>
          </w:tcPr>
          <w:p>
            <w:pPr>
              <w:spacing w:line="220" w:lineRule="exact"/>
              <w:rPr>
                <w:rFonts w:ascii="楷体" w:hAnsi="楷体" w:eastAsia="楷体"/>
                <w:sz w:val="18"/>
                <w:szCs w:val="18"/>
              </w:rPr>
            </w:pPr>
            <w:r>
              <w:rPr>
                <w:rFonts w:hint="eastAsia" w:ascii="楷体" w:hAnsi="楷体" w:eastAsia="楷体"/>
                <w:sz w:val="18"/>
                <w:szCs w:val="18"/>
              </w:rPr>
              <w:t>2019年度支出146.93万元。基本支出144.66万元，主要是为保障机构正常运转、完成日常工作任务而发生的各项支出，其中：工资福利支出137.68万元；商品和服务支出6.98万元。项目支出2.27万元。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75" w:type="dxa"/>
            <w:gridSpan w:val="5"/>
          </w:tcPr>
          <w:p>
            <w:pPr>
              <w:spacing w:line="220" w:lineRule="exact"/>
              <w:rPr>
                <w:rFonts w:ascii="楷体" w:hAnsi="楷体" w:eastAsia="楷体"/>
                <w:sz w:val="18"/>
                <w:szCs w:val="18"/>
              </w:rPr>
            </w:pPr>
            <w:r>
              <w:rPr>
                <w:rFonts w:hint="eastAsia" w:ascii="楷体" w:hAnsi="楷体" w:eastAsia="楷体"/>
                <w:sz w:val="18"/>
                <w:szCs w:val="18"/>
              </w:rPr>
              <w:t>（三）简要概述当年区委区政府下达的重点工作。</w:t>
            </w:r>
          </w:p>
        </w:tc>
        <w:tc>
          <w:tcPr>
            <w:tcW w:w="8699" w:type="dxa"/>
            <w:gridSpan w:val="7"/>
          </w:tcPr>
          <w:p>
            <w:pPr>
              <w:spacing w:line="220" w:lineRule="exact"/>
              <w:rPr>
                <w:rFonts w:ascii="楷体" w:hAnsi="楷体" w:eastAsia="楷体"/>
                <w:sz w:val="18"/>
                <w:szCs w:val="18"/>
              </w:rPr>
            </w:pPr>
            <w:r>
              <w:rPr>
                <w:rFonts w:hint="eastAsia" w:ascii="楷体" w:hAnsi="楷体" w:eastAsia="楷体"/>
                <w:sz w:val="18"/>
                <w:szCs w:val="18"/>
              </w:rPr>
              <w:t>全年完成重点建设项目拆迁任务690户，完成农民进城进镇2590名,城镇化率达到66.9%。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8" w:type="dxa"/>
          </w:tcPr>
          <w:p>
            <w:pPr>
              <w:spacing w:line="220" w:lineRule="exact"/>
              <w:rPr>
                <w:rFonts w:ascii="楷体" w:hAnsi="楷体" w:eastAsia="楷体"/>
                <w:sz w:val="18"/>
                <w:szCs w:val="18"/>
              </w:rPr>
            </w:pPr>
            <w:r>
              <w:rPr>
                <w:rFonts w:hint="eastAsia" w:ascii="楷体" w:hAnsi="楷体" w:eastAsia="楷体"/>
                <w:sz w:val="18"/>
                <w:szCs w:val="18"/>
              </w:rPr>
              <w:t>一级</w:t>
            </w:r>
            <w:r>
              <w:rPr>
                <w:rFonts w:hint="eastAsia" w:ascii="楷体" w:hAnsi="楷体" w:eastAsia="楷体"/>
                <w:sz w:val="18"/>
                <w:szCs w:val="18"/>
              </w:rPr>
              <w:br w:type="textWrapping"/>
            </w:r>
            <w:r>
              <w:rPr>
                <w:rFonts w:hint="eastAsia" w:ascii="楷体" w:hAnsi="楷体" w:eastAsia="楷体"/>
                <w:sz w:val="18"/>
                <w:szCs w:val="18"/>
              </w:rPr>
              <w:t>指标</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二级</w:t>
            </w:r>
            <w:r>
              <w:rPr>
                <w:rFonts w:hint="eastAsia" w:ascii="楷体" w:hAnsi="楷体" w:eastAsia="楷体"/>
                <w:sz w:val="18"/>
                <w:szCs w:val="18"/>
              </w:rPr>
              <w:br w:type="textWrapping"/>
            </w:r>
            <w:r>
              <w:rPr>
                <w:rFonts w:hint="eastAsia" w:ascii="楷体" w:hAnsi="楷体" w:eastAsia="楷体"/>
                <w:sz w:val="18"/>
                <w:szCs w:val="18"/>
              </w:rPr>
              <w:t>指标</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三级指标</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分值</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指标说明</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评分标准</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指标值计算公式和数据获取方式</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年初目标值</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实际完成值</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得分</w:t>
            </w:r>
          </w:p>
        </w:tc>
        <w:tc>
          <w:tcPr>
            <w:tcW w:w="1496" w:type="dxa"/>
          </w:tcPr>
          <w:p>
            <w:pPr>
              <w:spacing w:line="220" w:lineRule="exact"/>
              <w:rPr>
                <w:rFonts w:ascii="楷体" w:hAnsi="楷体" w:eastAsia="楷体"/>
                <w:sz w:val="18"/>
                <w:szCs w:val="18"/>
              </w:rPr>
            </w:pPr>
            <w:r>
              <w:rPr>
                <w:rFonts w:hint="eastAsia" w:ascii="楷体" w:hAnsi="楷体" w:eastAsia="楷体"/>
                <w:sz w:val="18"/>
                <w:szCs w:val="18"/>
              </w:rPr>
              <w:t>未完成原因分析与改进措施</w:t>
            </w:r>
          </w:p>
        </w:tc>
        <w:tc>
          <w:tcPr>
            <w:tcW w:w="1333" w:type="dxa"/>
          </w:tcPr>
          <w:p>
            <w:pPr>
              <w:spacing w:line="220" w:lineRule="exact"/>
              <w:rPr>
                <w:rFonts w:ascii="楷体" w:hAnsi="楷体" w:eastAsia="楷体"/>
                <w:sz w:val="18"/>
                <w:szCs w:val="18"/>
              </w:rPr>
            </w:pPr>
            <w:r>
              <w:rPr>
                <w:rFonts w:hint="eastAsia" w:ascii="楷体" w:hAnsi="楷体" w:eastAsia="楷体"/>
                <w:sz w:val="18"/>
                <w:szCs w:val="18"/>
              </w:rPr>
              <w:t>绩效指标分析与建议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668" w:type="dxa"/>
            <w:vMerge w:val="restart"/>
            <w:noWrap/>
            <w:textDirection w:val="tbRlV"/>
          </w:tcPr>
          <w:p>
            <w:pPr>
              <w:spacing w:line="220" w:lineRule="exact"/>
              <w:rPr>
                <w:rFonts w:ascii="楷体" w:hAnsi="楷体" w:eastAsia="楷体"/>
                <w:sz w:val="18"/>
                <w:szCs w:val="18"/>
              </w:rPr>
            </w:pPr>
            <w:r>
              <w:rPr>
                <w:rFonts w:hint="eastAsia" w:ascii="楷体" w:hAnsi="楷体" w:eastAsia="楷体"/>
                <w:sz w:val="18"/>
                <w:szCs w:val="18"/>
              </w:rPr>
              <w:t>投入</w:t>
            </w:r>
          </w:p>
        </w:tc>
        <w:tc>
          <w:tcPr>
            <w:tcW w:w="576" w:type="dxa"/>
            <w:vMerge w:val="restart"/>
          </w:tcPr>
          <w:p>
            <w:pPr>
              <w:spacing w:line="220" w:lineRule="exact"/>
              <w:rPr>
                <w:rFonts w:ascii="楷体" w:hAnsi="楷体" w:eastAsia="楷体"/>
                <w:sz w:val="18"/>
                <w:szCs w:val="18"/>
              </w:rPr>
            </w:pPr>
            <w:r>
              <w:rPr>
                <w:rFonts w:hint="eastAsia" w:ascii="楷体" w:hAnsi="楷体" w:eastAsia="楷体"/>
                <w:sz w:val="18"/>
                <w:szCs w:val="18"/>
              </w:rPr>
              <w:t>预算执行（25分）</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预算</w:t>
            </w:r>
            <w:r>
              <w:rPr>
                <w:rFonts w:hint="eastAsia" w:ascii="楷体" w:hAnsi="楷体" w:eastAsia="楷体"/>
                <w:sz w:val="18"/>
                <w:szCs w:val="18"/>
              </w:rPr>
              <w:br w:type="textWrapping"/>
            </w:r>
            <w:r>
              <w:rPr>
                <w:rFonts w:hint="eastAsia" w:ascii="楷体" w:hAnsi="楷体" w:eastAsia="楷体"/>
                <w:sz w:val="18"/>
                <w:szCs w:val="18"/>
              </w:rPr>
              <w:t>完成率</w:t>
            </w:r>
            <w:r>
              <w:rPr>
                <w:rFonts w:hint="eastAsia" w:ascii="楷体" w:hAnsi="楷体" w:eastAsia="楷体"/>
                <w:sz w:val="18"/>
                <w:szCs w:val="18"/>
              </w:rPr>
              <w:br w:type="textWrapping"/>
            </w:r>
            <w:r>
              <w:rPr>
                <w:rFonts w:hint="eastAsia" w:ascii="楷体" w:hAnsi="楷体" w:eastAsia="楷体"/>
                <w:sz w:val="18"/>
                <w:szCs w:val="18"/>
              </w:rPr>
              <w:t>（10分）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10</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预算完成率=（预算完成数/预算数）×100%，用以反映和考核部门（单位）预算完成程度。</w:t>
            </w:r>
            <w:r>
              <w:rPr>
                <w:rFonts w:hint="eastAsia" w:ascii="楷体" w:hAnsi="楷体" w:eastAsia="楷体"/>
                <w:sz w:val="18"/>
                <w:szCs w:val="18"/>
              </w:rPr>
              <w:br w:type="textWrapping"/>
            </w:r>
            <w:r>
              <w:rPr>
                <w:rFonts w:hint="eastAsia" w:ascii="楷体" w:hAnsi="楷体" w:eastAsia="楷体"/>
                <w:sz w:val="18"/>
                <w:szCs w:val="18"/>
              </w:rPr>
              <w:t>预算完成数：部门（单位）本年度实际完成的预算数。</w:t>
            </w:r>
            <w:r>
              <w:rPr>
                <w:rFonts w:hint="eastAsia" w:ascii="楷体" w:hAnsi="楷体" w:eastAsia="楷体"/>
                <w:sz w:val="18"/>
                <w:szCs w:val="18"/>
              </w:rPr>
              <w:br w:type="textWrapping"/>
            </w:r>
            <w:r>
              <w:rPr>
                <w:rFonts w:hint="eastAsia" w:ascii="楷体" w:hAnsi="楷体" w:eastAsia="楷体"/>
                <w:sz w:val="18"/>
                <w:szCs w:val="18"/>
              </w:rPr>
              <w:t>预算数：财政部门批复的本年度部门（单位）预算数。</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预算完成率＝100%的，得10分。</w:t>
            </w:r>
            <w:r>
              <w:rPr>
                <w:rFonts w:hint="eastAsia" w:ascii="楷体" w:hAnsi="楷体" w:eastAsia="楷体"/>
                <w:sz w:val="18"/>
                <w:szCs w:val="18"/>
              </w:rPr>
              <w:br w:type="textWrapping"/>
            </w:r>
            <w:r>
              <w:rPr>
                <w:rFonts w:hint="eastAsia" w:ascii="楷体" w:hAnsi="楷体" w:eastAsia="楷体"/>
                <w:sz w:val="18"/>
                <w:szCs w:val="18"/>
              </w:rPr>
              <w:t>预算完成率≥95%的，得9分。</w:t>
            </w:r>
            <w:r>
              <w:rPr>
                <w:rFonts w:hint="eastAsia" w:ascii="楷体" w:hAnsi="楷体" w:eastAsia="楷体"/>
                <w:sz w:val="18"/>
                <w:szCs w:val="18"/>
              </w:rPr>
              <w:br w:type="textWrapping"/>
            </w:r>
            <w:r>
              <w:rPr>
                <w:rFonts w:hint="eastAsia" w:ascii="楷体" w:hAnsi="楷体" w:eastAsia="楷体"/>
                <w:sz w:val="18"/>
                <w:szCs w:val="18"/>
              </w:rPr>
              <w:t>预算完成率在90%（含）和95%之间，得8分。</w:t>
            </w:r>
            <w:r>
              <w:rPr>
                <w:rFonts w:hint="eastAsia" w:ascii="楷体" w:hAnsi="楷体" w:eastAsia="楷体"/>
                <w:sz w:val="18"/>
                <w:szCs w:val="18"/>
              </w:rPr>
              <w:br w:type="textWrapping"/>
            </w:r>
            <w:r>
              <w:rPr>
                <w:rFonts w:hint="eastAsia" w:ascii="楷体" w:hAnsi="楷体" w:eastAsia="楷体"/>
                <w:sz w:val="18"/>
                <w:szCs w:val="18"/>
              </w:rPr>
              <w:t>预算完成率在85%（含）和90%之间，得7分。</w:t>
            </w:r>
            <w:r>
              <w:rPr>
                <w:rFonts w:hint="eastAsia" w:ascii="楷体" w:hAnsi="楷体" w:eastAsia="楷体"/>
                <w:sz w:val="18"/>
                <w:szCs w:val="18"/>
              </w:rPr>
              <w:br w:type="textWrapping"/>
            </w:r>
            <w:r>
              <w:rPr>
                <w:rFonts w:hint="eastAsia" w:ascii="楷体" w:hAnsi="楷体" w:eastAsia="楷体"/>
                <w:sz w:val="18"/>
                <w:szCs w:val="18"/>
              </w:rPr>
              <w:t>预算完成率在80%（含）和85%之间，得6分。</w:t>
            </w:r>
            <w:r>
              <w:rPr>
                <w:rFonts w:hint="eastAsia" w:ascii="楷体" w:hAnsi="楷体" w:eastAsia="楷体"/>
                <w:sz w:val="18"/>
                <w:szCs w:val="18"/>
              </w:rPr>
              <w:br w:type="textWrapping"/>
            </w:r>
            <w:r>
              <w:rPr>
                <w:rFonts w:hint="eastAsia" w:ascii="楷体" w:hAnsi="楷体" w:eastAsia="楷体"/>
                <w:sz w:val="18"/>
                <w:szCs w:val="18"/>
              </w:rPr>
              <w:t>预算完成率在70%（含）和80%之间，得4分。</w:t>
            </w:r>
            <w:r>
              <w:rPr>
                <w:rFonts w:hint="eastAsia" w:ascii="楷体" w:hAnsi="楷体" w:eastAsia="楷体"/>
                <w:sz w:val="18"/>
                <w:szCs w:val="18"/>
              </w:rPr>
              <w:br w:type="textWrapping"/>
            </w:r>
            <w:r>
              <w:rPr>
                <w:rFonts w:hint="eastAsia" w:ascii="楷体" w:hAnsi="楷体" w:eastAsia="楷体"/>
                <w:sz w:val="18"/>
                <w:szCs w:val="18"/>
              </w:rPr>
              <w:t>预算完成率＜70%的，得0分。</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预算完成率=（预算完成数/预算数）×100%</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145.13</w:t>
            </w:r>
          </w:p>
        </w:tc>
        <w:tc>
          <w:tcPr>
            <w:tcW w:w="795" w:type="dxa"/>
          </w:tcPr>
          <w:p>
            <w:pPr>
              <w:spacing w:line="220" w:lineRule="exact"/>
              <w:rPr>
                <w:rFonts w:hint="default" w:ascii="楷体" w:hAnsi="楷体" w:eastAsia="楷体"/>
                <w:sz w:val="18"/>
                <w:szCs w:val="18"/>
                <w:lang w:val="en-US" w:eastAsia="zh-CN"/>
              </w:rPr>
            </w:pPr>
            <w:r>
              <w:rPr>
                <w:rFonts w:hint="eastAsia" w:ascii="楷体" w:hAnsi="楷体" w:eastAsia="楷体"/>
                <w:sz w:val="18"/>
                <w:szCs w:val="18"/>
                <w:u w:val="none"/>
                <w:lang w:val="en-US" w:eastAsia="zh-CN"/>
              </w:rPr>
              <w:t>144.66</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9</w:t>
            </w:r>
          </w:p>
        </w:tc>
        <w:tc>
          <w:tcPr>
            <w:tcW w:w="1496" w:type="dxa"/>
          </w:tcPr>
          <w:p>
            <w:pPr>
              <w:spacing w:line="220" w:lineRule="exact"/>
              <w:rPr>
                <w:rFonts w:ascii="楷体" w:hAnsi="楷体" w:eastAsia="楷体"/>
                <w:sz w:val="18"/>
                <w:szCs w:val="18"/>
              </w:rPr>
            </w:pPr>
            <w:r>
              <w:rPr>
                <w:rFonts w:hint="eastAsia" w:ascii="楷体" w:hAnsi="楷体" w:eastAsia="楷体"/>
                <w:sz w:val="18"/>
                <w:szCs w:val="18"/>
              </w:rPr>
              <w:t>　</w:t>
            </w:r>
            <w:bookmarkStart w:id="1" w:name="_GoBack"/>
            <w:bookmarkEnd w:id="1"/>
          </w:p>
        </w:tc>
        <w:tc>
          <w:tcPr>
            <w:tcW w:w="1333" w:type="dxa"/>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668" w:type="dxa"/>
            <w:vMerge w:val="continue"/>
          </w:tcPr>
          <w:p>
            <w:pPr>
              <w:spacing w:line="220" w:lineRule="exact"/>
              <w:rPr>
                <w:rFonts w:ascii="楷体" w:hAnsi="楷体" w:eastAsia="楷体"/>
                <w:sz w:val="18"/>
                <w:szCs w:val="18"/>
              </w:rPr>
            </w:pPr>
          </w:p>
        </w:tc>
        <w:tc>
          <w:tcPr>
            <w:tcW w:w="576" w:type="dxa"/>
            <w:vMerge w:val="continue"/>
          </w:tcPr>
          <w:p>
            <w:pPr>
              <w:spacing w:line="220" w:lineRule="exact"/>
              <w:rPr>
                <w:rFonts w:ascii="楷体" w:hAnsi="楷体" w:eastAsia="楷体"/>
                <w:sz w:val="18"/>
                <w:szCs w:val="18"/>
              </w:rPr>
            </w:pPr>
          </w:p>
        </w:tc>
        <w:tc>
          <w:tcPr>
            <w:tcW w:w="576" w:type="dxa"/>
          </w:tcPr>
          <w:p>
            <w:pPr>
              <w:spacing w:line="220" w:lineRule="exact"/>
              <w:rPr>
                <w:rFonts w:ascii="楷体" w:hAnsi="楷体" w:eastAsia="楷体"/>
                <w:sz w:val="18"/>
                <w:szCs w:val="18"/>
              </w:rPr>
            </w:pPr>
            <w:r>
              <w:rPr>
                <w:rFonts w:hint="eastAsia" w:ascii="楷体" w:hAnsi="楷体" w:eastAsia="楷体"/>
                <w:sz w:val="18"/>
                <w:szCs w:val="18"/>
              </w:rPr>
              <w:t>预算调整率</w:t>
            </w:r>
            <w:r>
              <w:rPr>
                <w:rFonts w:hint="eastAsia" w:ascii="楷体" w:hAnsi="楷体" w:eastAsia="楷体"/>
                <w:sz w:val="18"/>
                <w:szCs w:val="18"/>
              </w:rPr>
              <w:br w:type="textWrapping"/>
            </w:r>
            <w:r>
              <w:rPr>
                <w:rFonts w:hint="eastAsia" w:ascii="楷体" w:hAnsi="楷体" w:eastAsia="楷体"/>
                <w:sz w:val="18"/>
                <w:szCs w:val="18"/>
              </w:rPr>
              <w:t>（5分）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预算调整率=（预算调整数/预算数）×100%，用以反映和考核部门（单位）预算的调整程度。</w:t>
            </w:r>
            <w:r>
              <w:rPr>
                <w:rFonts w:hint="eastAsia" w:ascii="楷体" w:hAnsi="楷体" w:eastAsia="楷体"/>
                <w:sz w:val="18"/>
                <w:szCs w:val="18"/>
              </w:rPr>
              <w:br w:type="textWrapping"/>
            </w:r>
            <w:r>
              <w:rPr>
                <w:rFonts w:hint="eastAsia" w:ascii="楷体" w:hAnsi="楷体" w:eastAsia="楷体"/>
                <w:sz w:val="18"/>
                <w:szCs w:val="18"/>
              </w:rPr>
              <w:t>预算调整数：部门（单位）在本年度内涉及预算的追加、追减或结构调整的资金总和（因落实国家政策、发生不可抗力、上级部门或本级党委政府临时交办而产生的调整除外）。</w:t>
            </w:r>
            <w:r>
              <w:rPr>
                <w:rFonts w:hint="eastAsia" w:ascii="楷体" w:hAnsi="楷体" w:eastAsia="楷体"/>
                <w:sz w:val="18"/>
                <w:szCs w:val="18"/>
              </w:rPr>
              <w:br w:type="textWrapping"/>
            </w:r>
            <w:r>
              <w:rPr>
                <w:rFonts w:hint="eastAsia" w:ascii="楷体" w:hAnsi="楷体" w:eastAsia="楷体"/>
                <w:sz w:val="18"/>
                <w:szCs w:val="18"/>
              </w:rPr>
              <w:t>预算包括一般公共预算与政府性基金预算。</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预算调整率绝对值≤5%，得5分。</w:t>
            </w:r>
            <w:r>
              <w:rPr>
                <w:rFonts w:hint="eastAsia" w:ascii="楷体" w:hAnsi="楷体" w:eastAsia="楷体"/>
                <w:sz w:val="18"/>
                <w:szCs w:val="18"/>
              </w:rPr>
              <w:br w:type="textWrapping"/>
            </w:r>
            <w:r>
              <w:rPr>
                <w:rFonts w:hint="eastAsia" w:ascii="楷体" w:hAnsi="楷体" w:eastAsia="楷体"/>
                <w:sz w:val="18"/>
                <w:szCs w:val="18"/>
              </w:rPr>
              <w:t>预算调整率绝对值＞5%的，每增加0.1个百分点扣0.1分，扣完为止。</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预算调整率=（预算调整数/预算数）×100%</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145.13</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146.93</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1496"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1333" w:type="dxa"/>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68" w:type="dxa"/>
          </w:tcPr>
          <w:p>
            <w:pPr>
              <w:spacing w:line="220" w:lineRule="exact"/>
              <w:rPr>
                <w:rFonts w:ascii="楷体" w:hAnsi="楷体" w:eastAsia="楷体"/>
                <w:sz w:val="18"/>
                <w:szCs w:val="18"/>
              </w:rPr>
            </w:pPr>
            <w:r>
              <w:rPr>
                <w:rFonts w:hint="eastAsia" w:ascii="楷体" w:hAnsi="楷体" w:eastAsia="楷体"/>
                <w:sz w:val="18"/>
                <w:szCs w:val="18"/>
              </w:rPr>
              <w:t>一级</w:t>
            </w:r>
            <w:r>
              <w:rPr>
                <w:rFonts w:hint="eastAsia" w:ascii="楷体" w:hAnsi="楷体" w:eastAsia="楷体"/>
                <w:sz w:val="18"/>
                <w:szCs w:val="18"/>
              </w:rPr>
              <w:br w:type="textWrapping"/>
            </w:r>
            <w:r>
              <w:rPr>
                <w:rFonts w:hint="eastAsia" w:ascii="楷体" w:hAnsi="楷体" w:eastAsia="楷体"/>
                <w:sz w:val="18"/>
                <w:szCs w:val="18"/>
              </w:rPr>
              <w:t>指标</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二级</w:t>
            </w:r>
            <w:r>
              <w:rPr>
                <w:rFonts w:hint="eastAsia" w:ascii="楷体" w:hAnsi="楷体" w:eastAsia="楷体"/>
                <w:sz w:val="18"/>
                <w:szCs w:val="18"/>
              </w:rPr>
              <w:br w:type="textWrapping"/>
            </w:r>
            <w:r>
              <w:rPr>
                <w:rFonts w:hint="eastAsia" w:ascii="楷体" w:hAnsi="楷体" w:eastAsia="楷体"/>
                <w:sz w:val="18"/>
                <w:szCs w:val="18"/>
              </w:rPr>
              <w:t>指标</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三级指标</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分值</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指标说明</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评分标准</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指标值计算公式和数据获取方式</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年初目标值</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实际完成值</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得分</w:t>
            </w:r>
          </w:p>
        </w:tc>
        <w:tc>
          <w:tcPr>
            <w:tcW w:w="1496" w:type="dxa"/>
          </w:tcPr>
          <w:p>
            <w:pPr>
              <w:spacing w:line="220" w:lineRule="exact"/>
              <w:rPr>
                <w:rFonts w:ascii="楷体" w:hAnsi="楷体" w:eastAsia="楷体"/>
                <w:sz w:val="18"/>
                <w:szCs w:val="18"/>
              </w:rPr>
            </w:pPr>
            <w:r>
              <w:rPr>
                <w:rFonts w:hint="eastAsia" w:ascii="楷体" w:hAnsi="楷体" w:eastAsia="楷体"/>
                <w:sz w:val="18"/>
                <w:szCs w:val="18"/>
              </w:rPr>
              <w:t>未完成原因分析与改进措施</w:t>
            </w:r>
          </w:p>
        </w:tc>
        <w:tc>
          <w:tcPr>
            <w:tcW w:w="1333" w:type="dxa"/>
          </w:tcPr>
          <w:p>
            <w:pPr>
              <w:spacing w:line="220" w:lineRule="exact"/>
              <w:rPr>
                <w:rFonts w:ascii="楷体" w:hAnsi="楷体" w:eastAsia="楷体"/>
                <w:sz w:val="18"/>
                <w:szCs w:val="18"/>
              </w:rPr>
            </w:pPr>
            <w:r>
              <w:rPr>
                <w:rFonts w:hint="eastAsia" w:ascii="楷体" w:hAnsi="楷体" w:eastAsia="楷体"/>
                <w:sz w:val="18"/>
                <w:szCs w:val="18"/>
              </w:rPr>
              <w:t>绩效指标分析与建议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668" w:type="dxa"/>
            <w:vMerge w:val="restart"/>
            <w:noWrap/>
            <w:textDirection w:val="tbRlV"/>
          </w:tcPr>
          <w:p>
            <w:pPr>
              <w:spacing w:line="220" w:lineRule="exact"/>
              <w:rPr>
                <w:rFonts w:ascii="楷体" w:hAnsi="楷体" w:eastAsia="楷体"/>
                <w:sz w:val="18"/>
                <w:szCs w:val="18"/>
              </w:rPr>
            </w:pPr>
            <w:r>
              <w:rPr>
                <w:rFonts w:hint="eastAsia" w:ascii="楷体" w:hAnsi="楷体" w:eastAsia="楷体"/>
                <w:sz w:val="18"/>
                <w:szCs w:val="18"/>
              </w:rPr>
              <w:t>投入</w:t>
            </w:r>
          </w:p>
        </w:tc>
        <w:tc>
          <w:tcPr>
            <w:tcW w:w="576" w:type="dxa"/>
            <w:vMerge w:val="restart"/>
          </w:tcPr>
          <w:p>
            <w:pPr>
              <w:spacing w:line="220" w:lineRule="exact"/>
              <w:rPr>
                <w:rFonts w:ascii="楷体" w:hAnsi="楷体" w:eastAsia="楷体"/>
                <w:sz w:val="18"/>
                <w:szCs w:val="18"/>
              </w:rPr>
            </w:pPr>
            <w:r>
              <w:rPr>
                <w:rFonts w:hint="eastAsia" w:ascii="楷体" w:hAnsi="楷体" w:eastAsia="楷体"/>
                <w:sz w:val="18"/>
                <w:szCs w:val="18"/>
              </w:rPr>
              <w:t>预算执行（25分）</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支出进度率</w:t>
            </w:r>
            <w:r>
              <w:rPr>
                <w:rFonts w:hint="eastAsia" w:ascii="楷体" w:hAnsi="楷体" w:eastAsia="楷体"/>
                <w:sz w:val="18"/>
                <w:szCs w:val="18"/>
              </w:rPr>
              <w:br w:type="textWrapping"/>
            </w:r>
            <w:r>
              <w:rPr>
                <w:rFonts w:hint="eastAsia" w:ascii="楷体" w:hAnsi="楷体" w:eastAsia="楷体"/>
                <w:sz w:val="18"/>
                <w:szCs w:val="18"/>
              </w:rPr>
              <w:t>（5分）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支出进度率=（实际支出/支出预算）×100%，用以反映和考核部门（单位）预算执行的及时性和均衡性程度。</w:t>
            </w:r>
            <w:r>
              <w:rPr>
                <w:rFonts w:hint="eastAsia" w:ascii="楷体" w:hAnsi="楷体" w:eastAsia="楷体"/>
                <w:sz w:val="18"/>
                <w:szCs w:val="18"/>
              </w:rPr>
              <w:br w:type="textWrapping"/>
            </w:r>
            <w:r>
              <w:rPr>
                <w:rFonts w:hint="eastAsia" w:ascii="楷体" w:hAnsi="楷体" w:eastAsia="楷体"/>
                <w:sz w:val="18"/>
                <w:szCs w:val="18"/>
              </w:rPr>
              <w:t>半年支出进度＝部门上半年实际支出/（上年结余结转+本年部门预算安排+上半年执行中追加追减）*100%。</w:t>
            </w:r>
            <w:r>
              <w:rPr>
                <w:rFonts w:hint="eastAsia" w:ascii="楷体" w:hAnsi="楷体" w:eastAsia="楷体"/>
                <w:sz w:val="18"/>
                <w:szCs w:val="18"/>
              </w:rPr>
              <w:br w:type="textWrapping"/>
            </w:r>
            <w:r>
              <w:rPr>
                <w:rFonts w:hint="eastAsia" w:ascii="楷体" w:hAnsi="楷体" w:eastAsia="楷体"/>
                <w:sz w:val="18"/>
                <w:szCs w:val="18"/>
              </w:rPr>
              <w:t>前三季度支出进度＝部门前三季度实际支出/（上年结余结转+本年部门预算安排+前三季度执行中追加追减）*100%。</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半年进度：进度率≥45%，得2分；进度率在40%（含）和45%之间，得1分；进度率＜40%，得0分。</w:t>
            </w:r>
            <w:r>
              <w:rPr>
                <w:rFonts w:hint="eastAsia" w:ascii="楷体" w:hAnsi="楷体" w:eastAsia="楷体"/>
                <w:sz w:val="18"/>
                <w:szCs w:val="18"/>
              </w:rPr>
              <w:br w:type="textWrapping"/>
            </w:r>
            <w:r>
              <w:rPr>
                <w:rFonts w:hint="eastAsia" w:ascii="楷体" w:hAnsi="楷体" w:eastAsia="楷体"/>
                <w:sz w:val="18"/>
                <w:szCs w:val="18"/>
              </w:rPr>
              <w:t>前三季度进度：进度率≥75%，得3分；进度率在60%（含）和75%之间，得2分；进度率＜60%，得0分。</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支出进度率=（实际支出/支出预算）×100%</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145.13</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146.93</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3</w:t>
            </w:r>
          </w:p>
        </w:tc>
        <w:tc>
          <w:tcPr>
            <w:tcW w:w="1496"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1333" w:type="dxa"/>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68" w:type="dxa"/>
            <w:vMerge w:val="continue"/>
          </w:tcPr>
          <w:p>
            <w:pPr>
              <w:spacing w:line="220" w:lineRule="exact"/>
              <w:rPr>
                <w:rFonts w:ascii="楷体" w:hAnsi="楷体" w:eastAsia="楷体"/>
                <w:sz w:val="18"/>
                <w:szCs w:val="18"/>
              </w:rPr>
            </w:pPr>
          </w:p>
        </w:tc>
        <w:tc>
          <w:tcPr>
            <w:tcW w:w="576" w:type="dxa"/>
            <w:vMerge w:val="continue"/>
          </w:tcPr>
          <w:p>
            <w:pPr>
              <w:spacing w:line="220" w:lineRule="exact"/>
              <w:rPr>
                <w:rFonts w:ascii="楷体" w:hAnsi="楷体" w:eastAsia="楷体"/>
                <w:sz w:val="18"/>
                <w:szCs w:val="18"/>
              </w:rPr>
            </w:pPr>
          </w:p>
        </w:tc>
        <w:tc>
          <w:tcPr>
            <w:tcW w:w="576" w:type="dxa"/>
          </w:tcPr>
          <w:p>
            <w:pPr>
              <w:spacing w:line="220" w:lineRule="exact"/>
              <w:rPr>
                <w:rFonts w:ascii="楷体" w:hAnsi="楷体" w:eastAsia="楷体"/>
                <w:sz w:val="18"/>
                <w:szCs w:val="18"/>
              </w:rPr>
            </w:pPr>
            <w:r>
              <w:rPr>
                <w:rFonts w:hint="eastAsia" w:ascii="楷体" w:hAnsi="楷体" w:eastAsia="楷体"/>
                <w:sz w:val="18"/>
                <w:szCs w:val="18"/>
              </w:rPr>
              <w:t>预算编制准确率（5分）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部门预算中除财政拨款外的其他收入预算与决算差异率。</w:t>
            </w:r>
            <w:r>
              <w:rPr>
                <w:rFonts w:hint="eastAsia" w:ascii="楷体" w:hAnsi="楷体" w:eastAsia="楷体"/>
                <w:sz w:val="18"/>
                <w:szCs w:val="18"/>
              </w:rPr>
              <w:br w:type="textWrapping"/>
            </w:r>
            <w:r>
              <w:rPr>
                <w:rFonts w:hint="eastAsia" w:ascii="楷体" w:hAnsi="楷体" w:eastAsia="楷体"/>
                <w:sz w:val="18"/>
                <w:szCs w:val="18"/>
              </w:rPr>
              <w:t>预算编制准确率＝其他收入决算数/其他收入预算数×100%-100%。</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预算编制准确率≤20%，得5分。</w:t>
            </w:r>
            <w:r>
              <w:rPr>
                <w:rFonts w:hint="eastAsia" w:ascii="楷体" w:hAnsi="楷体" w:eastAsia="楷体"/>
                <w:sz w:val="18"/>
                <w:szCs w:val="18"/>
              </w:rPr>
              <w:br w:type="textWrapping"/>
            </w:r>
            <w:r>
              <w:rPr>
                <w:rFonts w:hint="eastAsia" w:ascii="楷体" w:hAnsi="楷体" w:eastAsia="楷体"/>
                <w:sz w:val="18"/>
                <w:szCs w:val="18"/>
              </w:rPr>
              <w:t>预算编制准确率在20%和40%（含）之间，得3分。</w:t>
            </w:r>
            <w:r>
              <w:rPr>
                <w:rFonts w:hint="eastAsia" w:ascii="楷体" w:hAnsi="楷体" w:eastAsia="楷体"/>
                <w:sz w:val="18"/>
                <w:szCs w:val="18"/>
              </w:rPr>
              <w:br w:type="textWrapping"/>
            </w:r>
            <w:r>
              <w:rPr>
                <w:rFonts w:hint="eastAsia" w:ascii="楷体" w:hAnsi="楷体" w:eastAsia="楷体"/>
                <w:sz w:val="18"/>
                <w:szCs w:val="18"/>
              </w:rPr>
              <w:t>预算编制准确率＞40%，得0分。</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预算编制准确率＝其他收入决算数/其他收入预算数×100%-100%</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145.13</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146.93</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3</w:t>
            </w:r>
          </w:p>
        </w:tc>
        <w:tc>
          <w:tcPr>
            <w:tcW w:w="1496"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1333" w:type="dxa"/>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668" w:type="dxa"/>
            <w:vMerge w:val="restart"/>
            <w:noWrap/>
            <w:textDirection w:val="tbRlV"/>
          </w:tcPr>
          <w:p>
            <w:pPr>
              <w:spacing w:line="220" w:lineRule="exact"/>
              <w:rPr>
                <w:rFonts w:ascii="楷体" w:hAnsi="楷体" w:eastAsia="楷体"/>
                <w:sz w:val="18"/>
                <w:szCs w:val="18"/>
              </w:rPr>
            </w:pPr>
            <w:r>
              <w:rPr>
                <w:rFonts w:hint="eastAsia" w:ascii="楷体" w:hAnsi="楷体" w:eastAsia="楷体"/>
                <w:sz w:val="18"/>
                <w:szCs w:val="18"/>
              </w:rPr>
              <w:t>过程</w:t>
            </w:r>
          </w:p>
        </w:tc>
        <w:tc>
          <w:tcPr>
            <w:tcW w:w="576" w:type="dxa"/>
            <w:vMerge w:val="restart"/>
          </w:tcPr>
          <w:p>
            <w:pPr>
              <w:spacing w:line="220" w:lineRule="exact"/>
              <w:rPr>
                <w:rFonts w:ascii="楷体" w:hAnsi="楷体" w:eastAsia="楷体"/>
                <w:sz w:val="18"/>
                <w:szCs w:val="18"/>
              </w:rPr>
            </w:pPr>
            <w:r>
              <w:rPr>
                <w:rFonts w:hint="eastAsia" w:ascii="楷体" w:hAnsi="楷体" w:eastAsia="楷体"/>
                <w:sz w:val="18"/>
                <w:szCs w:val="18"/>
              </w:rPr>
              <w:t>预算管理（15分）</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“三公经费”控制率</w:t>
            </w:r>
            <w:r>
              <w:rPr>
                <w:rFonts w:hint="eastAsia" w:ascii="楷体" w:hAnsi="楷体" w:eastAsia="楷体"/>
                <w:sz w:val="18"/>
                <w:szCs w:val="18"/>
              </w:rPr>
              <w:br w:type="textWrapping"/>
            </w:r>
            <w:r>
              <w:rPr>
                <w:rFonts w:hint="eastAsia" w:ascii="楷体" w:hAnsi="楷体" w:eastAsia="楷体"/>
                <w:sz w:val="18"/>
                <w:szCs w:val="18"/>
              </w:rPr>
              <w:t>（5分）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“三公经费”控制率=（“三公经费”实际支出数/“三公经费”预算安排数）×100%，用以反映和考核部门（单位）对“三公经费”的实际控制程度。</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三公经费控制率 ≤100%，得5分，每增加0.1个百分点扣0.5分，扣完为止。</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“三公经费”控制率=（“三公经费”实际支出数/“三公经费”预算安排数）×100%</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2.01</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0.06</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1496"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1333" w:type="dxa"/>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68" w:type="dxa"/>
            <w:vMerge w:val="continue"/>
          </w:tcPr>
          <w:p>
            <w:pPr>
              <w:spacing w:line="220" w:lineRule="exact"/>
              <w:rPr>
                <w:rFonts w:ascii="楷体" w:hAnsi="楷体" w:eastAsia="楷体"/>
                <w:sz w:val="18"/>
                <w:szCs w:val="18"/>
              </w:rPr>
            </w:pPr>
          </w:p>
        </w:tc>
        <w:tc>
          <w:tcPr>
            <w:tcW w:w="576" w:type="dxa"/>
            <w:vMerge w:val="continue"/>
          </w:tcPr>
          <w:p>
            <w:pPr>
              <w:spacing w:line="220" w:lineRule="exact"/>
              <w:rPr>
                <w:rFonts w:ascii="楷体" w:hAnsi="楷体" w:eastAsia="楷体"/>
                <w:sz w:val="18"/>
                <w:szCs w:val="18"/>
              </w:rPr>
            </w:pPr>
          </w:p>
        </w:tc>
        <w:tc>
          <w:tcPr>
            <w:tcW w:w="576" w:type="dxa"/>
          </w:tcPr>
          <w:p>
            <w:pPr>
              <w:spacing w:line="220" w:lineRule="exact"/>
              <w:rPr>
                <w:rFonts w:ascii="楷体" w:hAnsi="楷体" w:eastAsia="楷体"/>
                <w:sz w:val="18"/>
                <w:szCs w:val="18"/>
              </w:rPr>
            </w:pPr>
            <w:r>
              <w:rPr>
                <w:rFonts w:hint="eastAsia" w:ascii="楷体" w:hAnsi="楷体" w:eastAsia="楷体"/>
                <w:sz w:val="18"/>
                <w:szCs w:val="18"/>
              </w:rPr>
              <w:t>资产管理规范性</w:t>
            </w:r>
            <w:r>
              <w:rPr>
                <w:rFonts w:hint="eastAsia" w:ascii="楷体" w:hAnsi="楷体" w:eastAsia="楷体"/>
                <w:sz w:val="18"/>
                <w:szCs w:val="18"/>
              </w:rPr>
              <w:br w:type="textWrapping"/>
            </w:r>
            <w:r>
              <w:rPr>
                <w:rFonts w:hint="eastAsia" w:ascii="楷体" w:hAnsi="楷体" w:eastAsia="楷体"/>
                <w:sz w:val="18"/>
                <w:szCs w:val="18"/>
              </w:rPr>
              <w:t>（5分）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部门（单位）资产管理是否规范，用以反映和考核部门（单位）资产管理情况。</w:t>
            </w:r>
            <w:r>
              <w:rPr>
                <w:rFonts w:hint="eastAsia" w:ascii="楷体" w:hAnsi="楷体" w:eastAsia="楷体"/>
                <w:sz w:val="18"/>
                <w:szCs w:val="18"/>
              </w:rPr>
              <w:br w:type="textWrapping"/>
            </w:r>
            <w:r>
              <w:rPr>
                <w:rFonts w:hint="eastAsia" w:ascii="楷体" w:hAnsi="楷体" w:eastAsia="楷体"/>
                <w:sz w:val="18"/>
                <w:szCs w:val="18"/>
              </w:rPr>
              <w:t>1.新增资产配置按预算执行。</w:t>
            </w:r>
            <w:r>
              <w:rPr>
                <w:rFonts w:hint="eastAsia" w:ascii="楷体" w:hAnsi="楷体" w:eastAsia="楷体"/>
                <w:sz w:val="18"/>
                <w:szCs w:val="18"/>
              </w:rPr>
              <w:br w:type="textWrapping"/>
            </w:r>
            <w:r>
              <w:rPr>
                <w:rFonts w:hint="eastAsia" w:ascii="楷体" w:hAnsi="楷体" w:eastAsia="楷体"/>
                <w:sz w:val="18"/>
                <w:szCs w:val="18"/>
              </w:rPr>
              <w:t>2.资产有偿使用、处置按规定程序审批。</w:t>
            </w:r>
            <w:r>
              <w:rPr>
                <w:rFonts w:hint="eastAsia" w:ascii="楷体" w:hAnsi="楷体" w:eastAsia="楷体"/>
                <w:sz w:val="18"/>
                <w:szCs w:val="18"/>
              </w:rPr>
              <w:br w:type="textWrapping"/>
            </w:r>
            <w:r>
              <w:rPr>
                <w:rFonts w:hint="eastAsia" w:ascii="楷体" w:hAnsi="楷体" w:eastAsia="楷体"/>
                <w:sz w:val="18"/>
                <w:szCs w:val="18"/>
              </w:rPr>
              <w:t>3.资产收益及时、足额上缴财政。</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全部符合5分，有1项不符扣2分,扣完为止。</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全部符合</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全部符合</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1496" w:type="dxa"/>
            <w:noWrap/>
          </w:tcPr>
          <w:p>
            <w:pPr>
              <w:spacing w:line="220" w:lineRule="exact"/>
              <w:rPr>
                <w:rFonts w:ascii="楷体" w:hAnsi="楷体" w:eastAsia="楷体"/>
                <w:sz w:val="18"/>
                <w:szCs w:val="18"/>
              </w:rPr>
            </w:pPr>
            <w:r>
              <w:rPr>
                <w:rFonts w:hint="eastAsia" w:ascii="楷体" w:hAnsi="楷体" w:eastAsia="楷体"/>
                <w:sz w:val="18"/>
                <w:szCs w:val="18"/>
              </w:rPr>
              <w:t>　</w:t>
            </w:r>
          </w:p>
        </w:tc>
        <w:tc>
          <w:tcPr>
            <w:tcW w:w="1333" w:type="dxa"/>
            <w:noWrap/>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68" w:type="dxa"/>
          </w:tcPr>
          <w:p>
            <w:pPr>
              <w:spacing w:line="220" w:lineRule="exact"/>
              <w:rPr>
                <w:rFonts w:ascii="楷体" w:hAnsi="楷体" w:eastAsia="楷体"/>
                <w:sz w:val="18"/>
                <w:szCs w:val="18"/>
              </w:rPr>
            </w:pPr>
            <w:r>
              <w:rPr>
                <w:rFonts w:hint="eastAsia" w:ascii="楷体" w:hAnsi="楷体" w:eastAsia="楷体"/>
                <w:sz w:val="18"/>
                <w:szCs w:val="18"/>
              </w:rPr>
              <w:t>一级</w:t>
            </w:r>
            <w:r>
              <w:rPr>
                <w:rFonts w:hint="eastAsia" w:ascii="楷体" w:hAnsi="楷体" w:eastAsia="楷体"/>
                <w:sz w:val="18"/>
                <w:szCs w:val="18"/>
              </w:rPr>
              <w:br w:type="textWrapping"/>
            </w:r>
            <w:r>
              <w:rPr>
                <w:rFonts w:hint="eastAsia" w:ascii="楷体" w:hAnsi="楷体" w:eastAsia="楷体"/>
                <w:sz w:val="18"/>
                <w:szCs w:val="18"/>
              </w:rPr>
              <w:t>指标</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二级</w:t>
            </w:r>
            <w:r>
              <w:rPr>
                <w:rFonts w:hint="eastAsia" w:ascii="楷体" w:hAnsi="楷体" w:eastAsia="楷体"/>
                <w:sz w:val="18"/>
                <w:szCs w:val="18"/>
              </w:rPr>
              <w:br w:type="textWrapping"/>
            </w:r>
            <w:r>
              <w:rPr>
                <w:rFonts w:hint="eastAsia" w:ascii="楷体" w:hAnsi="楷体" w:eastAsia="楷体"/>
                <w:sz w:val="18"/>
                <w:szCs w:val="18"/>
              </w:rPr>
              <w:t>指标</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三级指标</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分值</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指标说明</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评分标准</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指标值计算公式和数据获取方式</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年初目标值</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实际完成值</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得分</w:t>
            </w:r>
          </w:p>
        </w:tc>
        <w:tc>
          <w:tcPr>
            <w:tcW w:w="1496" w:type="dxa"/>
          </w:tcPr>
          <w:p>
            <w:pPr>
              <w:spacing w:line="220" w:lineRule="exact"/>
              <w:rPr>
                <w:rFonts w:ascii="楷体" w:hAnsi="楷体" w:eastAsia="楷体"/>
                <w:sz w:val="18"/>
                <w:szCs w:val="18"/>
              </w:rPr>
            </w:pPr>
            <w:r>
              <w:rPr>
                <w:rFonts w:hint="eastAsia" w:ascii="楷体" w:hAnsi="楷体" w:eastAsia="楷体"/>
                <w:sz w:val="18"/>
                <w:szCs w:val="18"/>
              </w:rPr>
              <w:t>未完成原因分析与改进措施</w:t>
            </w:r>
          </w:p>
        </w:tc>
        <w:tc>
          <w:tcPr>
            <w:tcW w:w="1333" w:type="dxa"/>
          </w:tcPr>
          <w:p>
            <w:pPr>
              <w:spacing w:line="220" w:lineRule="exact"/>
              <w:rPr>
                <w:rFonts w:ascii="楷体" w:hAnsi="楷体" w:eastAsia="楷体"/>
                <w:sz w:val="18"/>
                <w:szCs w:val="18"/>
              </w:rPr>
            </w:pPr>
            <w:r>
              <w:rPr>
                <w:rFonts w:hint="eastAsia" w:ascii="楷体" w:hAnsi="楷体" w:eastAsia="楷体"/>
                <w:sz w:val="18"/>
                <w:szCs w:val="18"/>
              </w:rPr>
              <w:t>绩效指标分析与建议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668" w:type="dxa"/>
            <w:noWrap/>
            <w:textDirection w:val="tbRlV"/>
          </w:tcPr>
          <w:p>
            <w:pPr>
              <w:spacing w:line="220" w:lineRule="exact"/>
              <w:rPr>
                <w:rFonts w:ascii="楷体" w:hAnsi="楷体" w:eastAsia="楷体"/>
                <w:sz w:val="18"/>
                <w:szCs w:val="18"/>
              </w:rPr>
            </w:pPr>
            <w:r>
              <w:rPr>
                <w:rFonts w:hint="eastAsia" w:ascii="楷体" w:hAnsi="楷体" w:eastAsia="楷体"/>
                <w:sz w:val="18"/>
                <w:szCs w:val="18"/>
              </w:rPr>
              <w:t>过程</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预算管理（15分）</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资金使用合规性</w:t>
            </w:r>
            <w:r>
              <w:rPr>
                <w:rFonts w:hint="eastAsia" w:ascii="楷体" w:hAnsi="楷体" w:eastAsia="楷体"/>
                <w:sz w:val="18"/>
                <w:szCs w:val="18"/>
              </w:rPr>
              <w:br w:type="textWrapping"/>
            </w:r>
            <w:r>
              <w:rPr>
                <w:rFonts w:hint="eastAsia" w:ascii="楷体" w:hAnsi="楷体" w:eastAsia="楷体"/>
                <w:sz w:val="18"/>
                <w:szCs w:val="18"/>
              </w:rPr>
              <w:t>（5分）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部门（单位）使用预算资金是否符合相关的预算财务管理制度的规定，用以反映和考核部门（单位）预算资金的规范运行情况。</w:t>
            </w:r>
            <w:r>
              <w:rPr>
                <w:rFonts w:hint="eastAsia" w:ascii="楷体" w:hAnsi="楷体" w:eastAsia="楷体"/>
                <w:sz w:val="18"/>
                <w:szCs w:val="18"/>
              </w:rPr>
              <w:br w:type="textWrapping"/>
            </w:r>
            <w:r>
              <w:rPr>
                <w:rFonts w:hint="eastAsia" w:ascii="楷体" w:hAnsi="楷体" w:eastAsia="楷体"/>
                <w:sz w:val="18"/>
                <w:szCs w:val="18"/>
              </w:rPr>
              <w:t>1.符合国家财经法规和财务管理制度规定以及有关专项资金管理办法的规定；</w:t>
            </w:r>
            <w:r>
              <w:rPr>
                <w:rFonts w:hint="eastAsia" w:ascii="楷体" w:hAnsi="楷体" w:eastAsia="楷体"/>
                <w:sz w:val="18"/>
                <w:szCs w:val="18"/>
              </w:rPr>
              <w:br w:type="textWrapping"/>
            </w:r>
            <w:r>
              <w:rPr>
                <w:rFonts w:hint="eastAsia" w:ascii="楷体" w:hAnsi="楷体" w:eastAsia="楷体"/>
                <w:sz w:val="18"/>
                <w:szCs w:val="18"/>
              </w:rPr>
              <w:t>2.资金的拨付有完整的审批程序和手续；</w:t>
            </w:r>
            <w:r>
              <w:rPr>
                <w:rFonts w:hint="eastAsia" w:ascii="楷体" w:hAnsi="楷体" w:eastAsia="楷体"/>
                <w:sz w:val="18"/>
                <w:szCs w:val="18"/>
              </w:rPr>
              <w:br w:type="textWrapping"/>
            </w:r>
            <w:r>
              <w:rPr>
                <w:rFonts w:hint="eastAsia" w:ascii="楷体" w:hAnsi="楷体" w:eastAsia="楷体"/>
                <w:sz w:val="18"/>
                <w:szCs w:val="18"/>
              </w:rPr>
              <w:t>3.重大项目开支经过评估论证；</w:t>
            </w:r>
            <w:r>
              <w:rPr>
                <w:rFonts w:hint="eastAsia" w:ascii="楷体" w:hAnsi="楷体" w:eastAsia="楷体"/>
                <w:sz w:val="18"/>
                <w:szCs w:val="18"/>
              </w:rPr>
              <w:br w:type="textWrapping"/>
            </w:r>
            <w:r>
              <w:rPr>
                <w:rFonts w:hint="eastAsia" w:ascii="楷体" w:hAnsi="楷体" w:eastAsia="楷体"/>
                <w:sz w:val="18"/>
                <w:szCs w:val="18"/>
              </w:rPr>
              <w:t>4.符合部门预算批复的用途；</w:t>
            </w:r>
            <w:r>
              <w:rPr>
                <w:rFonts w:hint="eastAsia" w:ascii="楷体" w:hAnsi="楷体" w:eastAsia="楷体"/>
                <w:sz w:val="18"/>
                <w:szCs w:val="18"/>
              </w:rPr>
              <w:br w:type="textWrapping"/>
            </w:r>
            <w:r>
              <w:rPr>
                <w:rFonts w:hint="eastAsia" w:ascii="楷体" w:hAnsi="楷体" w:eastAsia="楷体"/>
                <w:sz w:val="18"/>
                <w:szCs w:val="18"/>
              </w:rPr>
              <w:t>5.不存在截留、挤占、挪用、虚列支出等情况。</w:t>
            </w:r>
          </w:p>
        </w:tc>
        <w:tc>
          <w:tcPr>
            <w:tcW w:w="2481" w:type="dxa"/>
          </w:tcPr>
          <w:p>
            <w:pPr>
              <w:spacing w:line="220" w:lineRule="exact"/>
              <w:rPr>
                <w:rFonts w:ascii="楷体" w:hAnsi="楷体" w:eastAsia="楷体"/>
                <w:sz w:val="18"/>
                <w:szCs w:val="18"/>
              </w:rPr>
            </w:pPr>
            <w:r>
              <w:rPr>
                <w:rFonts w:hint="eastAsia" w:ascii="楷体" w:hAnsi="楷体" w:eastAsia="楷体"/>
                <w:sz w:val="18"/>
                <w:szCs w:val="18"/>
              </w:rPr>
              <w:t>全部符合5分,有1项不符扣2分。</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全部符合</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全部符合</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5</w:t>
            </w:r>
          </w:p>
        </w:tc>
        <w:tc>
          <w:tcPr>
            <w:tcW w:w="1496" w:type="dxa"/>
            <w:noWrap/>
          </w:tcPr>
          <w:p>
            <w:pPr>
              <w:spacing w:line="220" w:lineRule="exact"/>
              <w:rPr>
                <w:rFonts w:ascii="楷体" w:hAnsi="楷体" w:eastAsia="楷体"/>
                <w:sz w:val="18"/>
                <w:szCs w:val="18"/>
              </w:rPr>
            </w:pPr>
            <w:r>
              <w:rPr>
                <w:rFonts w:hint="eastAsia" w:ascii="楷体" w:hAnsi="楷体" w:eastAsia="楷体"/>
                <w:sz w:val="18"/>
                <w:szCs w:val="18"/>
              </w:rPr>
              <w:t>　</w:t>
            </w:r>
          </w:p>
        </w:tc>
        <w:tc>
          <w:tcPr>
            <w:tcW w:w="1333" w:type="dxa"/>
            <w:noWrap/>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68" w:type="dxa"/>
            <w:vMerge w:val="restart"/>
            <w:noWrap/>
            <w:textDirection w:val="tbRlV"/>
          </w:tcPr>
          <w:p>
            <w:pPr>
              <w:spacing w:line="220" w:lineRule="exact"/>
              <w:rPr>
                <w:rFonts w:ascii="楷体" w:hAnsi="楷体" w:eastAsia="楷体"/>
                <w:sz w:val="18"/>
                <w:szCs w:val="18"/>
              </w:rPr>
            </w:pPr>
            <w:r>
              <w:rPr>
                <w:rFonts w:hint="eastAsia" w:ascii="楷体" w:hAnsi="楷体" w:eastAsia="楷体"/>
                <w:sz w:val="18"/>
                <w:szCs w:val="18"/>
              </w:rPr>
              <w:t>效果</w:t>
            </w:r>
          </w:p>
        </w:tc>
        <w:tc>
          <w:tcPr>
            <w:tcW w:w="576" w:type="dxa"/>
            <w:vMerge w:val="restart"/>
          </w:tcPr>
          <w:p>
            <w:pPr>
              <w:spacing w:line="220" w:lineRule="exact"/>
              <w:rPr>
                <w:rFonts w:ascii="楷体" w:hAnsi="楷体" w:eastAsia="楷体"/>
                <w:sz w:val="18"/>
                <w:szCs w:val="18"/>
              </w:rPr>
            </w:pPr>
            <w:r>
              <w:rPr>
                <w:rFonts w:hint="eastAsia" w:ascii="楷体" w:hAnsi="楷体" w:eastAsia="楷体"/>
                <w:sz w:val="18"/>
                <w:szCs w:val="18"/>
              </w:rPr>
              <w:t>履职尽责（60分）</w:t>
            </w:r>
          </w:p>
        </w:tc>
        <w:tc>
          <w:tcPr>
            <w:tcW w:w="576" w:type="dxa"/>
          </w:tcPr>
          <w:p>
            <w:pPr>
              <w:spacing w:line="220" w:lineRule="exact"/>
              <w:rPr>
                <w:rFonts w:ascii="楷体" w:hAnsi="楷体" w:eastAsia="楷体"/>
                <w:sz w:val="18"/>
                <w:szCs w:val="18"/>
              </w:rPr>
            </w:pPr>
            <w:r>
              <w:rPr>
                <w:rFonts w:hint="eastAsia" w:ascii="楷体" w:hAnsi="楷体" w:eastAsia="楷体"/>
                <w:sz w:val="18"/>
                <w:szCs w:val="18"/>
              </w:rPr>
              <w:t>项目产出</w:t>
            </w:r>
            <w:r>
              <w:rPr>
                <w:rFonts w:hint="eastAsia" w:ascii="楷体" w:hAnsi="楷体" w:eastAsia="楷体"/>
                <w:sz w:val="18"/>
                <w:szCs w:val="18"/>
              </w:rPr>
              <w:br w:type="textWrapping"/>
            </w:r>
            <w:r>
              <w:rPr>
                <w:rFonts w:hint="eastAsia" w:ascii="楷体" w:hAnsi="楷体" w:eastAsia="楷体"/>
                <w:sz w:val="18"/>
                <w:szCs w:val="18"/>
              </w:rPr>
              <w:t>（40分）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40</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2481" w:type="dxa"/>
            <w:vMerge w:val="restart"/>
          </w:tcPr>
          <w:p>
            <w:pPr>
              <w:spacing w:line="220" w:lineRule="exact"/>
              <w:rPr>
                <w:rFonts w:ascii="楷体" w:hAnsi="楷体" w:eastAsia="楷体"/>
                <w:sz w:val="18"/>
                <w:szCs w:val="18"/>
              </w:rPr>
            </w:pPr>
            <w:r>
              <w:rPr>
                <w:rFonts w:hint="eastAsia" w:ascii="楷体" w:hAnsi="楷体" w:eastAsia="楷体"/>
                <w:sz w:val="18"/>
                <w:szCs w:val="18"/>
              </w:rPr>
              <w:t>1.若为定性指标，根据“三档”原则分别按照指标分值的100-80%（含）、80-50%（含）、50-10%来记分；</w:t>
            </w:r>
            <w:r>
              <w:rPr>
                <w:rFonts w:hint="eastAsia" w:ascii="楷体" w:hAnsi="楷体" w:eastAsia="楷体"/>
                <w:sz w:val="18"/>
                <w:szCs w:val="18"/>
              </w:rPr>
              <w:br w:type="textWrapping"/>
            </w:r>
            <w:r>
              <w:rPr>
                <w:rFonts w:hint="eastAsia" w:ascii="楷体" w:hAnsi="楷体" w:eastAsia="楷体"/>
                <w:sz w:val="18"/>
                <w:szCs w:val="18"/>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208"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40</w:t>
            </w:r>
          </w:p>
        </w:tc>
        <w:tc>
          <w:tcPr>
            <w:tcW w:w="1496" w:type="dxa"/>
            <w:noWrap/>
          </w:tcPr>
          <w:p>
            <w:pPr>
              <w:spacing w:line="220" w:lineRule="exact"/>
              <w:rPr>
                <w:rFonts w:ascii="楷体" w:hAnsi="楷体" w:eastAsia="楷体"/>
                <w:sz w:val="18"/>
                <w:szCs w:val="18"/>
              </w:rPr>
            </w:pPr>
            <w:r>
              <w:rPr>
                <w:rFonts w:hint="eastAsia" w:ascii="楷体" w:hAnsi="楷体" w:eastAsia="楷体"/>
                <w:sz w:val="18"/>
                <w:szCs w:val="18"/>
              </w:rPr>
              <w:t>　</w:t>
            </w:r>
          </w:p>
        </w:tc>
        <w:tc>
          <w:tcPr>
            <w:tcW w:w="1333" w:type="dxa"/>
            <w:noWrap/>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68" w:type="dxa"/>
            <w:vMerge w:val="continue"/>
          </w:tcPr>
          <w:p>
            <w:pPr>
              <w:spacing w:line="220" w:lineRule="exact"/>
              <w:rPr>
                <w:rFonts w:ascii="楷体" w:hAnsi="楷体" w:eastAsia="楷体"/>
                <w:sz w:val="18"/>
                <w:szCs w:val="18"/>
              </w:rPr>
            </w:pPr>
          </w:p>
        </w:tc>
        <w:tc>
          <w:tcPr>
            <w:tcW w:w="576" w:type="dxa"/>
            <w:vMerge w:val="continue"/>
          </w:tcPr>
          <w:p>
            <w:pPr>
              <w:spacing w:line="220" w:lineRule="exact"/>
              <w:rPr>
                <w:rFonts w:ascii="楷体" w:hAnsi="楷体" w:eastAsia="楷体"/>
                <w:sz w:val="18"/>
                <w:szCs w:val="18"/>
              </w:rPr>
            </w:pPr>
          </w:p>
        </w:tc>
        <w:tc>
          <w:tcPr>
            <w:tcW w:w="576" w:type="dxa"/>
          </w:tcPr>
          <w:p>
            <w:pPr>
              <w:spacing w:line="220" w:lineRule="exact"/>
              <w:rPr>
                <w:rFonts w:ascii="楷体" w:hAnsi="楷体" w:eastAsia="楷体"/>
                <w:sz w:val="18"/>
                <w:szCs w:val="18"/>
              </w:rPr>
            </w:pPr>
            <w:r>
              <w:rPr>
                <w:rFonts w:hint="eastAsia" w:ascii="楷体" w:hAnsi="楷体" w:eastAsia="楷体"/>
                <w:sz w:val="18"/>
                <w:szCs w:val="18"/>
              </w:rPr>
              <w:t>项目效益</w:t>
            </w:r>
            <w:r>
              <w:rPr>
                <w:rFonts w:hint="eastAsia" w:ascii="楷体" w:hAnsi="楷体" w:eastAsia="楷体"/>
                <w:sz w:val="18"/>
                <w:szCs w:val="18"/>
              </w:rPr>
              <w:br w:type="textWrapping"/>
            </w:r>
            <w:r>
              <w:rPr>
                <w:rFonts w:hint="eastAsia" w:ascii="楷体" w:hAnsi="楷体" w:eastAsia="楷体"/>
                <w:sz w:val="18"/>
                <w:szCs w:val="18"/>
              </w:rPr>
              <w:t>（20分）</w:t>
            </w:r>
          </w:p>
        </w:tc>
        <w:tc>
          <w:tcPr>
            <w:tcW w:w="545" w:type="dxa"/>
          </w:tcPr>
          <w:p>
            <w:pPr>
              <w:spacing w:line="220" w:lineRule="exact"/>
              <w:rPr>
                <w:rFonts w:ascii="楷体" w:hAnsi="楷体" w:eastAsia="楷体"/>
                <w:sz w:val="18"/>
                <w:szCs w:val="18"/>
              </w:rPr>
            </w:pPr>
            <w:r>
              <w:rPr>
                <w:rFonts w:hint="eastAsia" w:ascii="楷体" w:hAnsi="楷体" w:eastAsia="楷体"/>
                <w:sz w:val="18"/>
                <w:szCs w:val="18"/>
              </w:rPr>
              <w:t>20</w:t>
            </w:r>
          </w:p>
        </w:tc>
        <w:tc>
          <w:tcPr>
            <w:tcW w:w="3110"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2481" w:type="dxa"/>
            <w:vMerge w:val="continue"/>
          </w:tcPr>
          <w:p>
            <w:pPr>
              <w:spacing w:line="220" w:lineRule="exact"/>
              <w:rPr>
                <w:rFonts w:ascii="楷体" w:hAnsi="楷体" w:eastAsia="楷体"/>
                <w:sz w:val="18"/>
                <w:szCs w:val="18"/>
              </w:rPr>
            </w:pPr>
          </w:p>
        </w:tc>
        <w:tc>
          <w:tcPr>
            <w:tcW w:w="1208"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795" w:type="dxa"/>
          </w:tcPr>
          <w:p>
            <w:pPr>
              <w:spacing w:line="220" w:lineRule="exact"/>
              <w:rPr>
                <w:rFonts w:ascii="楷体" w:hAnsi="楷体" w:eastAsia="楷体"/>
                <w:sz w:val="18"/>
                <w:szCs w:val="18"/>
              </w:rPr>
            </w:pPr>
            <w:r>
              <w:rPr>
                <w:rFonts w:hint="eastAsia" w:ascii="楷体" w:hAnsi="楷体" w:eastAsia="楷体"/>
                <w:sz w:val="18"/>
                <w:szCs w:val="18"/>
              </w:rPr>
              <w:t>　</w:t>
            </w:r>
          </w:p>
        </w:tc>
        <w:tc>
          <w:tcPr>
            <w:tcW w:w="591" w:type="dxa"/>
          </w:tcPr>
          <w:p>
            <w:pPr>
              <w:spacing w:line="220" w:lineRule="exact"/>
              <w:rPr>
                <w:rFonts w:ascii="楷体" w:hAnsi="楷体" w:eastAsia="楷体"/>
                <w:sz w:val="18"/>
                <w:szCs w:val="18"/>
              </w:rPr>
            </w:pPr>
            <w:r>
              <w:rPr>
                <w:rFonts w:hint="eastAsia" w:ascii="楷体" w:hAnsi="楷体" w:eastAsia="楷体"/>
                <w:sz w:val="18"/>
                <w:szCs w:val="18"/>
              </w:rPr>
              <w:t>20</w:t>
            </w:r>
          </w:p>
        </w:tc>
        <w:tc>
          <w:tcPr>
            <w:tcW w:w="1496" w:type="dxa"/>
            <w:noWrap/>
          </w:tcPr>
          <w:p>
            <w:pPr>
              <w:spacing w:line="220" w:lineRule="exact"/>
              <w:rPr>
                <w:rFonts w:ascii="楷体" w:hAnsi="楷体" w:eastAsia="楷体"/>
                <w:sz w:val="18"/>
                <w:szCs w:val="18"/>
              </w:rPr>
            </w:pPr>
            <w:r>
              <w:rPr>
                <w:rFonts w:hint="eastAsia" w:ascii="楷体" w:hAnsi="楷体" w:eastAsia="楷体"/>
                <w:sz w:val="18"/>
                <w:szCs w:val="18"/>
              </w:rPr>
              <w:t>　</w:t>
            </w:r>
          </w:p>
        </w:tc>
        <w:tc>
          <w:tcPr>
            <w:tcW w:w="1333" w:type="dxa"/>
            <w:noWrap/>
          </w:tcPr>
          <w:p>
            <w:pPr>
              <w:spacing w:line="220" w:lineRule="exact"/>
              <w:rPr>
                <w:rFonts w:ascii="楷体" w:hAnsi="楷体" w:eastAsia="楷体"/>
                <w:sz w:val="18"/>
                <w:szCs w:val="18"/>
              </w:rPr>
            </w:pPr>
            <w:r>
              <w:rPr>
                <w:rFonts w:hint="eastAsia" w:ascii="楷体" w:hAnsi="楷体" w:eastAsia="楷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4174" w:type="dxa"/>
            <w:gridSpan w:val="12"/>
          </w:tcPr>
          <w:p>
            <w:pPr>
              <w:spacing w:line="220" w:lineRule="exact"/>
              <w:rPr>
                <w:rFonts w:ascii="楷体" w:hAnsi="楷体" w:eastAsia="楷体"/>
                <w:sz w:val="18"/>
                <w:szCs w:val="18"/>
              </w:rPr>
            </w:pPr>
            <w:r>
              <w:rPr>
                <w:rFonts w:hint="eastAsia" w:ascii="楷体" w:hAnsi="楷体" w:eastAsia="楷体"/>
                <w:sz w:val="18"/>
                <w:szCs w:val="18"/>
              </w:rPr>
              <w:t>备注：</w:t>
            </w:r>
            <w:r>
              <w:rPr>
                <w:rFonts w:hint="eastAsia" w:ascii="楷体" w:hAnsi="楷体" w:eastAsia="楷体"/>
                <w:sz w:val="18"/>
                <w:szCs w:val="18"/>
              </w:rPr>
              <w:br w:type="textWrapping"/>
            </w:r>
            <w:r>
              <w:rPr>
                <w:rFonts w:hint="eastAsia" w:ascii="楷体" w:hAnsi="楷体" w:eastAsia="楷体"/>
                <w:sz w:val="18"/>
                <w:szCs w:val="18"/>
              </w:rPr>
              <w:t>1.“项目产出”和“项目效果”直接细化成部门年初绩效目标中的指标，并根据重要程度赋权。</w:t>
            </w:r>
            <w:r>
              <w:rPr>
                <w:rFonts w:hint="eastAsia" w:ascii="楷体" w:hAnsi="楷体" w:eastAsia="楷体"/>
                <w:sz w:val="18"/>
                <w:szCs w:val="18"/>
              </w:rPr>
              <w:br w:type="textWrapping"/>
            </w:r>
            <w:r>
              <w:rPr>
                <w:rFonts w:hint="eastAsia" w:ascii="楷体" w:hAnsi="楷体" w:eastAsia="楷体"/>
                <w:sz w:val="18"/>
                <w:szCs w:val="18"/>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spacing w:line="240" w:lineRule="exact"/>
        <w:rPr>
          <w:rFonts w:ascii="楷体" w:hAnsi="楷体" w:eastAsia="楷体"/>
          <w:sz w:val="18"/>
          <w:szCs w:val="18"/>
        </w:rPr>
      </w:pPr>
    </w:p>
    <w:p>
      <w:pPr>
        <w:widowControl/>
        <w:spacing w:line="240" w:lineRule="exact"/>
        <w:jc w:val="left"/>
        <w:rPr>
          <w:rFonts w:ascii="楷体" w:hAnsi="楷体" w:eastAsia="楷体" w:cs="楷体"/>
          <w:sz w:val="32"/>
          <w:szCs w:val="32"/>
        </w:rPr>
      </w:pPr>
    </w:p>
    <w:p>
      <w:pPr>
        <w:spacing w:line="240" w:lineRule="exact"/>
        <w:rPr>
          <w:rFonts w:ascii="楷体" w:hAnsi="楷体" w:eastAsia="楷体" w:cs="楷体"/>
          <w:sz w:val="32"/>
          <w:szCs w:val="32"/>
        </w:rPr>
      </w:pPr>
    </w:p>
    <w:p>
      <w:pPr>
        <w:widowControl/>
        <w:jc w:val="left"/>
        <w:rPr>
          <w:rFonts w:ascii="楷体" w:hAnsi="楷体" w:eastAsia="楷体" w:cs="楷体"/>
          <w:sz w:val="32"/>
          <w:szCs w:val="32"/>
        </w:rPr>
        <w:sectPr>
          <w:pgSz w:w="16838" w:h="11906" w:orient="landscape"/>
          <w:pgMar w:top="1134" w:right="2098" w:bottom="113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本部门无机关运行经费支出。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24438"/>
    <w:rsid w:val="00024ABB"/>
    <w:rsid w:val="00024D09"/>
    <w:rsid w:val="00027322"/>
    <w:rsid w:val="000435DB"/>
    <w:rsid w:val="00044332"/>
    <w:rsid w:val="00044946"/>
    <w:rsid w:val="00050E89"/>
    <w:rsid w:val="000817C6"/>
    <w:rsid w:val="00084F19"/>
    <w:rsid w:val="000F5728"/>
    <w:rsid w:val="0012532E"/>
    <w:rsid w:val="001402C9"/>
    <w:rsid w:val="00146787"/>
    <w:rsid w:val="0015488B"/>
    <w:rsid w:val="00164001"/>
    <w:rsid w:val="00183CD8"/>
    <w:rsid w:val="00192F0B"/>
    <w:rsid w:val="00197522"/>
    <w:rsid w:val="001B00D1"/>
    <w:rsid w:val="001B4EE0"/>
    <w:rsid w:val="001D7568"/>
    <w:rsid w:val="00200738"/>
    <w:rsid w:val="002016EF"/>
    <w:rsid w:val="00202E9F"/>
    <w:rsid w:val="00217478"/>
    <w:rsid w:val="00224CEC"/>
    <w:rsid w:val="002359ED"/>
    <w:rsid w:val="00240E9E"/>
    <w:rsid w:val="002424C8"/>
    <w:rsid w:val="00242C6B"/>
    <w:rsid w:val="00243DCC"/>
    <w:rsid w:val="00252496"/>
    <w:rsid w:val="0025585D"/>
    <w:rsid w:val="002659F1"/>
    <w:rsid w:val="00271ECC"/>
    <w:rsid w:val="00287951"/>
    <w:rsid w:val="002A12C5"/>
    <w:rsid w:val="002A7893"/>
    <w:rsid w:val="002B4D10"/>
    <w:rsid w:val="002C6786"/>
    <w:rsid w:val="002D5088"/>
    <w:rsid w:val="002D6EE8"/>
    <w:rsid w:val="002E1522"/>
    <w:rsid w:val="002E44F4"/>
    <w:rsid w:val="00325EB4"/>
    <w:rsid w:val="003364E9"/>
    <w:rsid w:val="00352F3B"/>
    <w:rsid w:val="003549D8"/>
    <w:rsid w:val="0035600F"/>
    <w:rsid w:val="00363ADE"/>
    <w:rsid w:val="003855FB"/>
    <w:rsid w:val="003945E0"/>
    <w:rsid w:val="003A3DF3"/>
    <w:rsid w:val="003B3ABE"/>
    <w:rsid w:val="003D20BF"/>
    <w:rsid w:val="004045F4"/>
    <w:rsid w:val="00412750"/>
    <w:rsid w:val="00414E52"/>
    <w:rsid w:val="00443E04"/>
    <w:rsid w:val="0044539E"/>
    <w:rsid w:val="00452E2E"/>
    <w:rsid w:val="00483AA9"/>
    <w:rsid w:val="00483FCD"/>
    <w:rsid w:val="004A4844"/>
    <w:rsid w:val="004B6D6E"/>
    <w:rsid w:val="004C0883"/>
    <w:rsid w:val="004C0999"/>
    <w:rsid w:val="004E31D6"/>
    <w:rsid w:val="004F5188"/>
    <w:rsid w:val="00507EF2"/>
    <w:rsid w:val="00523F2B"/>
    <w:rsid w:val="00526FD4"/>
    <w:rsid w:val="00544F34"/>
    <w:rsid w:val="005758E5"/>
    <w:rsid w:val="00580711"/>
    <w:rsid w:val="00590E96"/>
    <w:rsid w:val="005B20FD"/>
    <w:rsid w:val="005C34BD"/>
    <w:rsid w:val="005C35FC"/>
    <w:rsid w:val="005D5F92"/>
    <w:rsid w:val="005F471B"/>
    <w:rsid w:val="00634CE1"/>
    <w:rsid w:val="0064614D"/>
    <w:rsid w:val="00653644"/>
    <w:rsid w:val="0065451F"/>
    <w:rsid w:val="006876EB"/>
    <w:rsid w:val="00687D02"/>
    <w:rsid w:val="00690453"/>
    <w:rsid w:val="006A4C51"/>
    <w:rsid w:val="006B5C91"/>
    <w:rsid w:val="006B61D9"/>
    <w:rsid w:val="006C33F4"/>
    <w:rsid w:val="006C4819"/>
    <w:rsid w:val="006F5D30"/>
    <w:rsid w:val="00710446"/>
    <w:rsid w:val="00710EB7"/>
    <w:rsid w:val="007278B1"/>
    <w:rsid w:val="007335D8"/>
    <w:rsid w:val="00767B85"/>
    <w:rsid w:val="007A1A8D"/>
    <w:rsid w:val="007A1C1D"/>
    <w:rsid w:val="007A6CF3"/>
    <w:rsid w:val="007C0DE2"/>
    <w:rsid w:val="007F343C"/>
    <w:rsid w:val="007F4D10"/>
    <w:rsid w:val="00813F4A"/>
    <w:rsid w:val="00853FAF"/>
    <w:rsid w:val="008602D2"/>
    <w:rsid w:val="008816E1"/>
    <w:rsid w:val="00887B34"/>
    <w:rsid w:val="008B4BC8"/>
    <w:rsid w:val="008E0541"/>
    <w:rsid w:val="008E644C"/>
    <w:rsid w:val="00911488"/>
    <w:rsid w:val="0093182F"/>
    <w:rsid w:val="009549EE"/>
    <w:rsid w:val="0097256E"/>
    <w:rsid w:val="009753D1"/>
    <w:rsid w:val="00987940"/>
    <w:rsid w:val="00993171"/>
    <w:rsid w:val="00995466"/>
    <w:rsid w:val="00995A5E"/>
    <w:rsid w:val="009A0F96"/>
    <w:rsid w:val="009A6966"/>
    <w:rsid w:val="009B1994"/>
    <w:rsid w:val="009B5BC5"/>
    <w:rsid w:val="009D0F11"/>
    <w:rsid w:val="009D42E5"/>
    <w:rsid w:val="009E586D"/>
    <w:rsid w:val="00A043DB"/>
    <w:rsid w:val="00A07A07"/>
    <w:rsid w:val="00A20D1A"/>
    <w:rsid w:val="00A47558"/>
    <w:rsid w:val="00A60D02"/>
    <w:rsid w:val="00A75442"/>
    <w:rsid w:val="00AA1E2E"/>
    <w:rsid w:val="00AD327D"/>
    <w:rsid w:val="00AE2CEC"/>
    <w:rsid w:val="00AF0541"/>
    <w:rsid w:val="00B26E03"/>
    <w:rsid w:val="00B501FE"/>
    <w:rsid w:val="00B51D40"/>
    <w:rsid w:val="00B63239"/>
    <w:rsid w:val="00B80654"/>
    <w:rsid w:val="00B817FE"/>
    <w:rsid w:val="00B854CE"/>
    <w:rsid w:val="00BB5315"/>
    <w:rsid w:val="00BB66B3"/>
    <w:rsid w:val="00BC1D4B"/>
    <w:rsid w:val="00BC33E6"/>
    <w:rsid w:val="00BE3EAB"/>
    <w:rsid w:val="00BF03F4"/>
    <w:rsid w:val="00C00CC7"/>
    <w:rsid w:val="00C105D4"/>
    <w:rsid w:val="00C11780"/>
    <w:rsid w:val="00C23BD1"/>
    <w:rsid w:val="00C3018A"/>
    <w:rsid w:val="00C35831"/>
    <w:rsid w:val="00C426D8"/>
    <w:rsid w:val="00C5149A"/>
    <w:rsid w:val="00C54299"/>
    <w:rsid w:val="00C6492B"/>
    <w:rsid w:val="00C80DD6"/>
    <w:rsid w:val="00CB3BF0"/>
    <w:rsid w:val="00CC18B3"/>
    <w:rsid w:val="00CD5E22"/>
    <w:rsid w:val="00D15041"/>
    <w:rsid w:val="00D53C77"/>
    <w:rsid w:val="00D70FE9"/>
    <w:rsid w:val="00DA64FA"/>
    <w:rsid w:val="00DE0D6C"/>
    <w:rsid w:val="00DF038A"/>
    <w:rsid w:val="00E01520"/>
    <w:rsid w:val="00E170C3"/>
    <w:rsid w:val="00E35766"/>
    <w:rsid w:val="00E62968"/>
    <w:rsid w:val="00E703E4"/>
    <w:rsid w:val="00E8111E"/>
    <w:rsid w:val="00E9016F"/>
    <w:rsid w:val="00E91D85"/>
    <w:rsid w:val="00EB2B19"/>
    <w:rsid w:val="00EC2836"/>
    <w:rsid w:val="00EE182E"/>
    <w:rsid w:val="00F02D3B"/>
    <w:rsid w:val="00F260B3"/>
    <w:rsid w:val="00F41543"/>
    <w:rsid w:val="00F50E24"/>
    <w:rsid w:val="00F51636"/>
    <w:rsid w:val="00F90A68"/>
    <w:rsid w:val="00FA3803"/>
    <w:rsid w:val="00FA53CC"/>
    <w:rsid w:val="00FE1556"/>
    <w:rsid w:val="00FF29C6"/>
    <w:rsid w:val="013B79AC"/>
    <w:rsid w:val="0D895360"/>
    <w:rsid w:val="125E2600"/>
    <w:rsid w:val="132E46A0"/>
    <w:rsid w:val="14411117"/>
    <w:rsid w:val="1586116E"/>
    <w:rsid w:val="17C05F8A"/>
    <w:rsid w:val="18BB4AD7"/>
    <w:rsid w:val="1B4A3FDA"/>
    <w:rsid w:val="1B524C98"/>
    <w:rsid w:val="1C5E2F73"/>
    <w:rsid w:val="1D6E0C0D"/>
    <w:rsid w:val="1F5C5B78"/>
    <w:rsid w:val="221C15BB"/>
    <w:rsid w:val="230B5276"/>
    <w:rsid w:val="29785A6B"/>
    <w:rsid w:val="2D1F3974"/>
    <w:rsid w:val="2DB52EF2"/>
    <w:rsid w:val="30BF0EE5"/>
    <w:rsid w:val="31AA6038"/>
    <w:rsid w:val="328D56E4"/>
    <w:rsid w:val="33887EE3"/>
    <w:rsid w:val="34677C61"/>
    <w:rsid w:val="3A8D35CF"/>
    <w:rsid w:val="3B121AD1"/>
    <w:rsid w:val="3CFD0D2E"/>
    <w:rsid w:val="3D540849"/>
    <w:rsid w:val="3FA6520B"/>
    <w:rsid w:val="41603979"/>
    <w:rsid w:val="41CF436B"/>
    <w:rsid w:val="4619368A"/>
    <w:rsid w:val="471F2499"/>
    <w:rsid w:val="47876D0B"/>
    <w:rsid w:val="49C00968"/>
    <w:rsid w:val="4AF33B21"/>
    <w:rsid w:val="4D6E0FDF"/>
    <w:rsid w:val="4EE4307A"/>
    <w:rsid w:val="504818B9"/>
    <w:rsid w:val="5153143F"/>
    <w:rsid w:val="53271C22"/>
    <w:rsid w:val="54F12DEE"/>
    <w:rsid w:val="561C50CC"/>
    <w:rsid w:val="56925D1B"/>
    <w:rsid w:val="5B8D564A"/>
    <w:rsid w:val="5F202DD4"/>
    <w:rsid w:val="65074FBA"/>
    <w:rsid w:val="69512523"/>
    <w:rsid w:val="6ADC043D"/>
    <w:rsid w:val="6D942AAF"/>
    <w:rsid w:val="71086DB5"/>
    <w:rsid w:val="7236725F"/>
    <w:rsid w:val="75C31473"/>
    <w:rsid w:val="780E7C0A"/>
    <w:rsid w:val="7A9F365F"/>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财政拨款收入</c:v>
                </c:pt>
                <c:pt idx="1">
                  <c:v>其他收入</c:v>
                </c:pt>
              </c:strCache>
            </c:strRef>
          </c:cat>
          <c:val>
            <c:numRef>
              <c:f>Sheet1!$B$2:$B$3</c:f>
              <c:numCache>
                <c:formatCode>General</c:formatCode>
                <c:ptCount val="2"/>
                <c:pt idx="0">
                  <c:v>144.66</c:v>
                </c:pt>
                <c:pt idx="1">
                  <c:v>2.27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144.66</c:v>
                </c:pt>
                <c:pt idx="1">
                  <c:v>2.27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公务接待费</c:v>
                </c:pt>
              </c:strCache>
            </c:strRef>
          </c:cat>
          <c:val>
            <c:numRef>
              <c:f>Sheet1!$B$2</c:f>
              <c:numCache>
                <c:formatCode>General</c:formatCode>
                <c:ptCount val="1"/>
                <c:pt idx="0">
                  <c:v>0.06</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1750</Words>
  <Characters>9977</Characters>
  <Lines>83</Lines>
  <Paragraphs>23</Paragraphs>
  <TotalTime>1</TotalTime>
  <ScaleCrop>false</ScaleCrop>
  <LinksUpToDate>false</LinksUpToDate>
  <CharactersWithSpaces>11704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2020-09-27T09:17:00Z</dcterms:created>
  <dc:creator>Administrator</dc:creator>
  <cp:lastModifiedBy>gkg</cp:lastModifiedBy>
  <cp:lastPrinted>2020-07-28T02:12:00Z</cp:lastPrinted>
  <dcterms:modified xsi:type="dcterms:W3CDTF">2020-10-26T08:59:38Z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