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cs="宋体"/>
          <w:b/>
          <w:bCs/>
          <w:sz w:val="44"/>
          <w:szCs w:val="44"/>
        </w:rPr>
      </w:pPr>
    </w:p>
    <w:p>
      <w:pPr>
        <w:spacing w:line="440" w:lineRule="exact"/>
        <w:jc w:val="center"/>
        <w:rPr>
          <w:rFonts w:ascii="宋体" w:cs="宋体"/>
          <w:b/>
          <w:bCs/>
          <w:sz w:val="44"/>
          <w:szCs w:val="44"/>
        </w:rPr>
      </w:pPr>
    </w:p>
    <w:p>
      <w:pPr>
        <w:spacing w:line="560" w:lineRule="exact"/>
        <w:jc w:val="center"/>
        <w:rPr>
          <w:rFonts w:ascii="宋体" w:cs="宋体"/>
          <w:b/>
          <w:bCs/>
          <w:sz w:val="48"/>
          <w:szCs w:val="48"/>
        </w:rPr>
      </w:pPr>
      <w:r>
        <w:rPr>
          <w:rFonts w:hint="eastAsia" w:ascii="宋体" w:hAnsi="宋体" w:cs="宋体"/>
          <w:b/>
          <w:bCs/>
          <w:sz w:val="48"/>
          <w:szCs w:val="48"/>
        </w:rPr>
        <w:t>杨陵区科学技术局</w:t>
      </w:r>
      <w:r>
        <w:rPr>
          <w:rFonts w:ascii="宋体" w:hAnsi="宋体" w:cs="宋体"/>
          <w:b/>
          <w:bCs/>
          <w:sz w:val="48"/>
          <w:szCs w:val="48"/>
        </w:rPr>
        <w:t>2019</w:t>
      </w:r>
      <w:r>
        <w:rPr>
          <w:rFonts w:hint="eastAsia" w:ascii="宋体" w:hAnsi="宋体" w:cs="宋体"/>
          <w:b/>
          <w:bCs/>
          <w:sz w:val="48"/>
          <w:szCs w:val="48"/>
        </w:rPr>
        <w:t>年部门决算</w:t>
      </w: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jc w:val="center"/>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560" w:lineRule="exact"/>
        <w:rPr>
          <w:rFonts w:ascii="宋体" w:cs="宋体"/>
          <w:b/>
          <w:bCs/>
          <w:sz w:val="44"/>
          <w:szCs w:val="44"/>
        </w:rPr>
      </w:pPr>
    </w:p>
    <w:p>
      <w:pPr>
        <w:spacing w:line="400" w:lineRule="exact"/>
        <w:ind w:firstLine="2570" w:firstLineChars="800"/>
        <w:rPr>
          <w:rFonts w:ascii="宋体" w:cs="宋体"/>
          <w:b/>
          <w:bCs/>
          <w:sz w:val="32"/>
          <w:szCs w:val="32"/>
        </w:rPr>
      </w:pPr>
    </w:p>
    <w:p>
      <w:pPr>
        <w:spacing w:line="400" w:lineRule="exact"/>
        <w:ind w:firstLine="2570" w:firstLineChars="800"/>
        <w:rPr>
          <w:rFonts w:ascii="宋体" w:cs="宋体"/>
          <w:b/>
          <w:bCs/>
          <w:sz w:val="32"/>
          <w:szCs w:val="32"/>
        </w:rPr>
      </w:pPr>
    </w:p>
    <w:p>
      <w:pPr>
        <w:spacing w:line="400" w:lineRule="exact"/>
        <w:ind w:firstLine="2088" w:firstLineChars="650"/>
        <w:rPr>
          <w:rFonts w:ascii="宋体" w:hAnsi="宋体" w:cs="宋体"/>
          <w:b/>
          <w:bCs/>
          <w:sz w:val="32"/>
          <w:szCs w:val="32"/>
        </w:rPr>
      </w:pPr>
      <w:r>
        <w:rPr>
          <w:rFonts w:hint="eastAsia" w:ascii="宋体" w:hAnsi="宋体" w:cs="宋体"/>
          <w:b/>
          <w:bCs/>
          <w:sz w:val="32"/>
          <w:szCs w:val="32"/>
        </w:rPr>
        <w:t>保密审查情况：已审查</w:t>
      </w:r>
    </w:p>
    <w:p>
      <w:pPr>
        <w:spacing w:line="400" w:lineRule="exact"/>
        <w:ind w:firstLine="2088" w:firstLineChars="650"/>
        <w:rPr>
          <w:rFonts w:ascii="宋体" w:hAnsi="宋体" w:cs="宋体"/>
          <w:b/>
          <w:bCs/>
          <w:sz w:val="32"/>
          <w:szCs w:val="32"/>
        </w:rPr>
      </w:pPr>
    </w:p>
    <w:p>
      <w:pPr>
        <w:spacing w:line="400" w:lineRule="exact"/>
        <w:ind w:firstLine="2088" w:firstLineChars="650"/>
        <w:rPr>
          <w:rFonts w:ascii="宋体" w:cs="宋体"/>
          <w:b/>
          <w:bCs/>
          <w:sz w:val="32"/>
          <w:szCs w:val="32"/>
        </w:rPr>
      </w:pPr>
      <w:r>
        <w:rPr>
          <w:rFonts w:hint="eastAsia" w:ascii="宋体" w:hAnsi="宋体" w:cs="宋体"/>
          <w:b/>
          <w:bCs/>
          <w:sz w:val="32"/>
          <w:szCs w:val="32"/>
        </w:rPr>
        <w:t>部门主要负责人审签情况：已审签</w:t>
      </w:r>
    </w:p>
    <w:p>
      <w:pPr>
        <w:spacing w:line="400" w:lineRule="exact"/>
        <w:rPr>
          <w:rFonts w:ascii="宋体" w:cs="宋体"/>
          <w:b/>
          <w:bCs/>
          <w:sz w:val="32"/>
          <w:szCs w:val="32"/>
        </w:rPr>
      </w:pPr>
      <w:r>
        <w:rPr>
          <w:rFonts w:ascii="宋体" w:hAnsi="宋体" w:cs="宋体"/>
          <w:b/>
          <w:bCs/>
          <w:sz w:val="32"/>
          <w:szCs w:val="32"/>
        </w:rPr>
        <w:t xml:space="preserve">                </w:t>
      </w:r>
    </w:p>
    <w:p>
      <w:pPr>
        <w:spacing w:line="400" w:lineRule="exact"/>
        <w:rPr>
          <w:rFonts w:ascii="宋体" w:cs="宋体"/>
          <w:b/>
          <w:bCs/>
          <w:sz w:val="32"/>
          <w:szCs w:val="32"/>
        </w:rPr>
      </w:pPr>
      <w:r>
        <w:rPr>
          <w:rFonts w:ascii="宋体" w:hAnsi="宋体" w:cs="宋体"/>
          <w:b/>
          <w:bCs/>
          <w:sz w:val="32"/>
          <w:szCs w:val="32"/>
        </w:rPr>
        <w:t xml:space="preserve">                </w:t>
      </w:r>
    </w:p>
    <w:p>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hint="eastAsia" w:ascii="黑体" w:hAnsi="宋体" w:eastAsia="黑体"/>
          <w:bCs/>
          <w:color w:val="000000"/>
          <w:kern w:val="0"/>
          <w:sz w:val="36"/>
          <w:szCs w:val="36"/>
        </w:rPr>
        <w:t>目</w:t>
      </w:r>
      <w:r>
        <w:rPr>
          <w:rFonts w:ascii="黑体" w:hAnsi="宋体" w:eastAsia="黑体"/>
          <w:bCs/>
          <w:color w:val="000000"/>
          <w:kern w:val="0"/>
          <w:sz w:val="36"/>
          <w:szCs w:val="36"/>
        </w:rPr>
        <w:t xml:space="preserve">  </w:t>
      </w:r>
      <w:r>
        <w:rPr>
          <w:rFonts w:hint="eastAsia" w:ascii="黑体" w:hAnsi="宋体" w:eastAsia="黑体"/>
          <w:bCs/>
          <w:color w:val="000000"/>
          <w:kern w:val="0"/>
          <w:sz w:val="36"/>
          <w:szCs w:val="36"/>
        </w:rPr>
        <w:t>录</w:t>
      </w:r>
    </w:p>
    <w:p>
      <w:pPr>
        <w:widowControl/>
        <w:jc w:val="center"/>
      </w:pPr>
      <w:r>
        <w:rPr>
          <w:rFonts w:hint="eastAsia" w:ascii="黑体" w:hAnsi="宋体" w:eastAsia="黑体"/>
          <w:color w:val="000000"/>
          <w:kern w:val="0"/>
          <w:sz w:val="32"/>
          <w:szCs w:val="32"/>
        </w:rPr>
        <w:t>第一部分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部门概况</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pPr>
        <w:widowControl/>
        <w:jc w:val="center"/>
      </w:pPr>
      <w:r>
        <w:rPr>
          <w:rFonts w:hint="eastAsia" w:ascii="黑体" w:hAnsi="宋体" w:eastAsia="黑体"/>
          <w:color w:val="000000"/>
          <w:kern w:val="0"/>
          <w:sz w:val="32"/>
          <w:szCs w:val="32"/>
        </w:rPr>
        <w:t>第二部分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年部门决算表</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四、财政拨款收入支出决算总表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六、一般公共预算财政拨款基本支出决算表</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七、一般公共预算财政拨款“三公”经费及会议费、培训费支出决算表</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pPr>
        <w:widowControl/>
        <w:jc w:val="center"/>
      </w:pPr>
      <w:r>
        <w:rPr>
          <w:rFonts w:hint="eastAsia" w:ascii="黑体" w:hAnsi="宋体" w:eastAsia="黑体"/>
          <w:color w:val="000000"/>
          <w:kern w:val="0"/>
          <w:sz w:val="32"/>
          <w:szCs w:val="32"/>
        </w:rPr>
        <w:t>第三部分</w:t>
      </w:r>
      <w:r>
        <w:rPr>
          <w:rFonts w:ascii="黑体" w:hAnsi="宋体" w:eastAsia="黑体"/>
          <w:color w:val="000000"/>
          <w:kern w:val="0"/>
          <w:sz w:val="32"/>
          <w:szCs w:val="32"/>
        </w:rPr>
        <w:t xml:space="preserve">  2019</w:t>
      </w:r>
      <w:r>
        <w:rPr>
          <w:rFonts w:hint="eastAsia" w:ascii="黑体" w:hAnsi="宋体" w:eastAsia="黑体"/>
          <w:color w:val="000000"/>
          <w:kern w:val="0"/>
          <w:sz w:val="32"/>
          <w:szCs w:val="32"/>
        </w:rPr>
        <w:t>年部门决算情况说明</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一、收入支出决算总体情况说明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二、收入决算情况说明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三、支出决算情况说明</w:t>
      </w:r>
      <w:r>
        <w:rPr>
          <w:rFonts w:ascii="仿宋" w:hAnsi="仿宋" w:eastAsia="仿宋" w:cs="楷体"/>
          <w:color w:val="000000"/>
          <w:kern w:val="0"/>
          <w:sz w:val="32"/>
          <w:szCs w:val="32"/>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rPr>
        <w:t>四、财政拨款收入支出决算总体情况说明</w:t>
      </w:r>
      <w:r>
        <w:rPr>
          <w:rFonts w:ascii="仿宋" w:hAnsi="仿宋" w:eastAsia="仿宋" w:cs="楷体"/>
          <w:color w:val="000000"/>
          <w:kern w:val="0"/>
          <w:sz w:val="32"/>
          <w:szCs w:val="32"/>
        </w:rPr>
        <w:t xml:space="preserve">   </w:t>
      </w:r>
      <w:r>
        <w:rPr>
          <w:rFonts w:ascii="楷体" w:hAnsi="楷体" w:eastAsia="楷体"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五、一般公共预算财政拨款支出决算情况说明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六、一般公共预算财政拨款基本支出决算情况说明</w:t>
      </w:r>
      <w:r>
        <w:rPr>
          <w:rFonts w:ascii="仿宋" w:hAnsi="仿宋" w:eastAsia="仿宋" w:cs="楷体"/>
          <w:color w:val="000000"/>
          <w:kern w:val="0"/>
          <w:sz w:val="32"/>
          <w:szCs w:val="32"/>
        </w:rPr>
        <w:t xml:space="preserve">   </w:t>
      </w:r>
    </w:p>
    <w:p>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七、一般公共预算财政拨款“三公”经费及会议费、培训费支出决算情况说明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（一）“三公”经费财政拨款支出决算总体情况说明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（二）“三公”经费财政拨款支出决算具体情况说明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（三）培训费支出情况说明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（四）会议费支出情况说明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九、国有资本经营财政拨款收入支出情况说明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十、预算绩效情况说明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（一）预算绩效管理工作开展情况说明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pPr>
        <w:widowControl/>
        <w:jc w:val="left"/>
        <w:rPr>
          <w:rFonts w:ascii="仿宋" w:hAnsi="仿宋" w:eastAsia="仿宋" w:cs="楷体"/>
          <w:color w:val="000000"/>
          <w:kern w:val="0"/>
          <w:sz w:val="32"/>
          <w:szCs w:val="32"/>
        </w:rPr>
      </w:pPr>
      <w:r>
        <w:rPr>
          <w:rFonts w:ascii="仿宋" w:hAnsi="仿宋" w:eastAsia="仿宋" w:cs="楷体"/>
          <w:color w:val="000000"/>
          <w:kern w:val="0"/>
          <w:sz w:val="32"/>
          <w:szCs w:val="32"/>
        </w:rPr>
        <w:t xml:space="preserve"> </w:t>
      </w:r>
      <w:r>
        <w:rPr>
          <w:rFonts w:hint="eastAsia" w:ascii="仿宋" w:hAnsi="仿宋" w:eastAsia="仿宋" w:cs="楷体"/>
          <w:color w:val="000000"/>
          <w:kern w:val="0"/>
          <w:sz w:val="32"/>
          <w:szCs w:val="32"/>
        </w:rPr>
        <w:t>十一、其他重要事项说明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（一）机关运行经费支出情况说明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（二）政府采购支出情况说明</w:t>
      </w:r>
      <w:r>
        <w:rPr>
          <w:rFonts w:ascii="仿宋" w:hAnsi="仿宋" w:eastAsia="仿宋" w:cs="楷体"/>
          <w:color w:val="000000"/>
          <w:kern w:val="0"/>
          <w:sz w:val="32"/>
          <w:szCs w:val="32"/>
        </w:rPr>
        <w:t xml:space="preserve"> </w:t>
      </w:r>
    </w:p>
    <w:p>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（三）国有资产占用及购置情况说明</w:t>
      </w:r>
      <w:r>
        <w:rPr>
          <w:rFonts w:ascii="仿宋" w:hAnsi="仿宋" w:eastAsia="仿宋" w:cs="楷体"/>
          <w:color w:val="000000"/>
          <w:kern w:val="0"/>
          <w:sz w:val="32"/>
          <w:szCs w:val="32"/>
        </w:rPr>
        <w:t xml:space="preserve"> </w:t>
      </w:r>
    </w:p>
    <w:p>
      <w:pPr>
        <w:jc w:val="center"/>
        <w:rPr>
          <w:rFonts w:ascii="宋体" w:cs="宋体"/>
          <w:b/>
          <w:bCs/>
          <w:sz w:val="44"/>
          <w:szCs w:val="44"/>
        </w:rPr>
      </w:pPr>
      <w:r>
        <w:rPr>
          <w:rFonts w:hint="eastAsia" w:ascii="黑体" w:hAnsi="宋体" w:eastAsia="黑体"/>
          <w:color w:val="000000"/>
          <w:kern w:val="0"/>
          <w:sz w:val="32"/>
          <w:szCs w:val="32"/>
        </w:rPr>
        <w:t>第四部分</w:t>
      </w:r>
      <w:r>
        <w:rPr>
          <w:rFonts w:ascii="黑体" w:hAnsi="宋体" w:eastAsia="黑体"/>
          <w:color w:val="000000"/>
          <w:kern w:val="0"/>
          <w:sz w:val="32"/>
          <w:szCs w:val="32"/>
        </w:rPr>
        <w:t xml:space="preserve"> </w:t>
      </w:r>
      <w:r>
        <w:rPr>
          <w:rFonts w:hint="eastAsia" w:ascii="黑体" w:hAnsi="宋体" w:eastAsia="黑体"/>
          <w:color w:val="000000"/>
          <w:kern w:val="0"/>
          <w:sz w:val="32"/>
          <w:szCs w:val="32"/>
        </w:rPr>
        <w:t>专业名词解释</w:t>
      </w:r>
    </w:p>
    <w:p>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w:t>
      </w:r>
      <w:r>
        <w:rPr>
          <w:rFonts w:ascii="黑体" w:hAnsi="宋体" w:eastAsia="黑体"/>
          <w:color w:val="000000"/>
          <w:kern w:val="0"/>
          <w:sz w:val="44"/>
          <w:szCs w:val="44"/>
        </w:rPr>
        <w:t xml:space="preserve"> </w:t>
      </w:r>
      <w:r>
        <w:rPr>
          <w:rFonts w:hint="eastAsia" w:ascii="黑体" w:hAnsi="宋体" w:eastAsia="黑体"/>
          <w:color w:val="000000"/>
          <w:kern w:val="0"/>
          <w:sz w:val="44"/>
          <w:szCs w:val="44"/>
        </w:rPr>
        <w:t>部门概况</w:t>
      </w:r>
    </w:p>
    <w:p>
      <w:pPr>
        <w:widowControl/>
        <w:ind w:firstLine="640" w:firstLineChars="200"/>
        <w:jc w:val="left"/>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pPr>
        <w:ind w:firstLine="899" w:firstLineChars="281"/>
        <w:rPr>
          <w:rFonts w:ascii="仿宋_GB2312" w:eastAsia="仿宋_GB2312"/>
          <w:sz w:val="32"/>
          <w:szCs w:val="32"/>
        </w:rPr>
      </w:pPr>
      <w:r>
        <w:rPr>
          <w:rFonts w:hint="eastAsia" w:ascii="仿宋_GB2312" w:eastAsia="仿宋_GB2312"/>
          <w:sz w:val="32"/>
          <w:szCs w:val="32"/>
        </w:rPr>
        <w:t xml:space="preserve">1、拟定全区科技发展规划并组织实施。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2、统筹推进创新工作，提出激励企业技术创新的措施建议。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3、组织制定并实施全区年度科技发展计划，统筹协调基础研究、应用研究及产业化关键技术、共性技术推广。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4、负责本部门预算中科技经费监管管理。会同有关部门提出优化科技资源配置的措施建议。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5、编制区级科技项目计划并组织实施；组织申报、实施上级科技攻关、科技开发、火炬计划、 科技成果推广计划、星火计划等科技类项目。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6、围绕全区经济、社会发展思路和热点、难点等问题，组织科技力量开展软科学研究，为政府 提供决策参考和建议；参与区科技、经济、社会事业发展重大项目的调研、评估和可行性论证工作 。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7、推进技术服务体系建设和科技中介组织发展，对高新技术产业和科技型中小企业进行协调、 指导、服务。 </w:t>
      </w:r>
    </w:p>
    <w:p>
      <w:pPr>
        <w:ind w:firstLine="899" w:firstLineChars="281"/>
        <w:rPr>
          <w:rFonts w:ascii="仿宋_GB2312" w:eastAsia="仿宋_GB2312"/>
          <w:sz w:val="32"/>
          <w:szCs w:val="32"/>
        </w:rPr>
      </w:pPr>
      <w:r>
        <w:rPr>
          <w:rFonts w:hint="eastAsia" w:ascii="仿宋_GB2312" w:eastAsia="仿宋_GB2312"/>
          <w:sz w:val="32"/>
          <w:szCs w:val="32"/>
        </w:rPr>
        <w:t xml:space="preserve">8、负责全区对外科技合作与交流工作。 </w:t>
      </w:r>
    </w:p>
    <w:p>
      <w:pPr>
        <w:pStyle w:val="14"/>
        <w:ind w:left="360" w:firstLine="480" w:firstLineChars="150"/>
        <w:rPr>
          <w:rFonts w:ascii="仿宋_GB2312" w:eastAsia="仿宋_GB2312"/>
          <w:sz w:val="32"/>
          <w:szCs w:val="32"/>
        </w:rPr>
      </w:pPr>
      <w:r>
        <w:rPr>
          <w:rFonts w:hint="eastAsia" w:ascii="仿宋_GB2312" w:eastAsia="仿宋_GB2312"/>
          <w:sz w:val="32"/>
          <w:szCs w:val="32"/>
        </w:rPr>
        <w:t xml:space="preserve">9、负责省科学技术奖、“三秦友谊奖”、国家科学技术奖提名推荐等相关工作。贯彻落实人才 队伍建设相关政策。 </w:t>
      </w:r>
    </w:p>
    <w:p>
      <w:pPr>
        <w:ind w:firstLine="899" w:firstLineChars="281"/>
        <w:rPr>
          <w:rFonts w:ascii="仿宋_GB2312" w:eastAsia="仿宋_GB2312"/>
          <w:sz w:val="32"/>
          <w:szCs w:val="32"/>
        </w:rPr>
      </w:pPr>
      <w:r>
        <w:rPr>
          <w:rFonts w:hint="eastAsia" w:ascii="仿宋_GB2312" w:eastAsia="仿宋_GB2312"/>
          <w:sz w:val="32"/>
          <w:szCs w:val="32"/>
        </w:rPr>
        <w:t xml:space="preserve">10、完成区委、区政府交办的其他任务。 </w:t>
      </w:r>
    </w:p>
    <w:p>
      <w:pPr>
        <w:ind w:firstLine="899" w:firstLineChars="281"/>
        <w:rPr>
          <w:rFonts w:ascii="仿宋_GB2312" w:eastAsia="仿宋_GB2312"/>
          <w:sz w:val="32"/>
          <w:szCs w:val="32"/>
        </w:rPr>
      </w:pPr>
      <w:r>
        <w:rPr>
          <w:rFonts w:hint="eastAsia" w:ascii="仿宋_GB2312" w:eastAsia="仿宋_GB2312"/>
          <w:sz w:val="32"/>
          <w:szCs w:val="32"/>
        </w:rPr>
        <w:t>杨陵区科学技术局与杨陵区农业农村局合</w:t>
      </w:r>
      <w:r>
        <w:rPr>
          <w:rFonts w:hint="eastAsia" w:ascii="仿宋_GB2312" w:eastAsia="仿宋_GB2312"/>
          <w:sz w:val="32"/>
          <w:szCs w:val="32"/>
          <w:lang w:val="en-US" w:eastAsia="zh-CN"/>
        </w:rPr>
        <w:t>署</w:t>
      </w:r>
      <w:bookmarkStart w:id="4" w:name="_GoBack"/>
      <w:bookmarkEnd w:id="4"/>
      <w:r>
        <w:rPr>
          <w:rFonts w:hint="eastAsia" w:ascii="仿宋_GB2312" w:eastAsia="仿宋_GB2312"/>
          <w:sz w:val="32"/>
          <w:szCs w:val="32"/>
        </w:rPr>
        <w:t>办公。</w:t>
      </w:r>
    </w:p>
    <w:p>
      <w:pPr>
        <w:widowControl/>
        <w:ind w:firstLine="643" w:firstLineChars="200"/>
        <w:jc w:val="left"/>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pPr>
        <w:widowControl/>
        <w:ind w:firstLine="640" w:firstLineChars="200"/>
        <w:jc w:val="left"/>
      </w:pPr>
      <w:r>
        <w:rPr>
          <w:rFonts w:hint="eastAsia" w:ascii="黑体" w:hAnsi="宋体" w:eastAsia="黑体"/>
          <w:color w:val="000000"/>
          <w:kern w:val="0"/>
          <w:sz w:val="32"/>
          <w:szCs w:val="32"/>
        </w:rPr>
        <w:t>二、部门决算单位构成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年本部门决算编制范围的单位共2个，包括本级及所属1个</w:t>
      </w:r>
      <w:r>
        <w:rPr>
          <w:rFonts w:hint="eastAsia"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9"/>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杨陵区科学技术局部门本级（机关）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杨陵区生产力促进中心二级预算单位（事业）</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年底，本部门人员编制6人，其中行政编制3人、事业编制3人；实有人员6人，其中行政3人、事业3人。单位管理的离退休人员4人。</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4942205" cy="2362200"/>
            <wp:effectExtent l="19050" t="0" r="10583"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widowControl/>
        <w:jc w:val="center"/>
        <w:rPr>
          <w:sz w:val="44"/>
          <w:szCs w:val="44"/>
        </w:rPr>
      </w:pPr>
      <w:r>
        <w:rPr>
          <w:rFonts w:hint="eastAsia" w:ascii="黑体" w:hAnsi="宋体" w:eastAsia="黑体"/>
          <w:color w:val="000000"/>
          <w:kern w:val="0"/>
          <w:sz w:val="44"/>
          <w:szCs w:val="44"/>
        </w:rPr>
        <w:t>第二部分</w:t>
      </w:r>
      <w:r>
        <w:rPr>
          <w:rFonts w:ascii="黑体" w:hAnsi="宋体" w:eastAsia="黑体"/>
          <w:color w:val="000000"/>
          <w:kern w:val="0"/>
          <w:sz w:val="44"/>
          <w:szCs w:val="44"/>
        </w:rPr>
        <w:t xml:space="preserve"> 2019</w:t>
      </w:r>
      <w:r>
        <w:rPr>
          <w:rFonts w:hint="eastAsia" w:ascii="黑体" w:hAnsi="宋体" w:eastAsia="黑体"/>
          <w:color w:val="000000"/>
          <w:kern w:val="0"/>
          <w:sz w:val="44"/>
          <w:szCs w:val="44"/>
        </w:rPr>
        <w:t>年度部门决算表</w:t>
      </w:r>
    </w:p>
    <w:p>
      <w:pPr>
        <w:widowControl/>
        <w:jc w:val="center"/>
        <w:rPr>
          <w:sz w:val="44"/>
          <w:szCs w:val="44"/>
        </w:rPr>
      </w:pPr>
    </w:p>
    <w:tbl>
      <w:tblPr>
        <w:tblStyle w:val="9"/>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Layout w:type="fixed"/>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pPr>
              <w:widowControl/>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本年度无发生</w:t>
            </w:r>
          </w:p>
        </w:tc>
      </w:tr>
      <w:tr>
        <w:tblPrEx>
          <w:tblLayout w:type="fixed"/>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rPr>
              <w:t>无政府性基金</w:t>
            </w:r>
          </w:p>
        </w:tc>
      </w:tr>
    </w:tbl>
    <w:p>
      <w:pPr>
        <w:widowControl/>
        <w:rPr>
          <w:rFonts w:ascii="黑体" w:hAnsi="宋体" w:eastAsia="黑体"/>
          <w:color w:val="000000"/>
          <w:kern w:val="0"/>
          <w:sz w:val="44"/>
          <w:szCs w:val="44"/>
        </w:rPr>
      </w:pPr>
    </w:p>
    <w:p>
      <w:pPr>
        <w:widowControl/>
        <w:rPr>
          <w:rFonts w:ascii="黑体" w:hAnsi="宋体" w:eastAsia="黑体"/>
          <w:color w:val="000000"/>
          <w:kern w:val="0"/>
          <w:sz w:val="44"/>
          <w:szCs w:val="44"/>
        </w:rPr>
      </w:pPr>
    </w:p>
    <w:p>
      <w:pPr>
        <w:widowControl/>
        <w:jc w:val="center"/>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pPr>
        <w:jc w:val="center"/>
        <w:rPr>
          <w:rFonts w:ascii="宋体" w:hAnsi="宋体" w:cs="宋体"/>
          <w:b/>
          <w:bCs/>
          <w:sz w:val="32"/>
          <w:szCs w:val="32"/>
        </w:rPr>
      </w:pPr>
      <w:r>
        <w:rPr>
          <w:rFonts w:hint="eastAsia" w:ascii="宋体" w:hAnsi="宋体" w:cs="宋体"/>
          <w:b/>
          <w:bCs/>
          <w:sz w:val="32"/>
          <w:szCs w:val="32"/>
        </w:rPr>
        <w:t>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884" w:type="dxa"/>
        <w:tblInd w:w="0" w:type="dxa"/>
        <w:tblLayout w:type="fixed"/>
        <w:tblCellMar>
          <w:top w:w="15" w:type="dxa"/>
          <w:left w:w="15" w:type="dxa"/>
          <w:bottom w:w="15" w:type="dxa"/>
          <w:right w:w="15" w:type="dxa"/>
        </w:tblCellMar>
      </w:tblPr>
      <w:tblGrid>
        <w:gridCol w:w="3388"/>
        <w:gridCol w:w="1080"/>
        <w:gridCol w:w="3090"/>
        <w:gridCol w:w="1326"/>
      </w:tblGrid>
      <w:tr>
        <w:tblPrEx>
          <w:tblLayout w:type="fixed"/>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Layout w:type="fixed"/>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137.06</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168.84</w:t>
            </w: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69.99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szCs w:val="21"/>
              </w:rPr>
              <w:t>207.04</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210.76</w:t>
            </w:r>
          </w:p>
        </w:tc>
      </w:tr>
      <w:tr>
        <w:tblPrEx>
          <w:tblLayout w:type="fixed"/>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Layout w:type="fixed"/>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r>
              <w:rPr>
                <w:rFonts w:hint="eastAsia" w:ascii="宋体" w:hAnsi="宋体" w:cs="宋体"/>
                <w:bCs/>
                <w:color w:val="000000"/>
                <w:szCs w:val="21"/>
              </w:rPr>
              <w:t>29.75</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26.03</w:t>
            </w:r>
          </w:p>
        </w:tc>
      </w:tr>
      <w:tr>
        <w:tblPrEx>
          <w:tblLayout w:type="fixed"/>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236.79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b/>
                <w:color w:val="000000"/>
                <w:szCs w:val="21"/>
              </w:rPr>
            </w:pPr>
            <w:r>
              <w:rPr>
                <w:rFonts w:hint="eastAsia" w:ascii="宋体" w:hAnsi="宋体" w:cs="宋体"/>
                <w:b/>
                <w:color w:val="000000"/>
                <w:szCs w:val="21"/>
              </w:rPr>
              <w:t>236.79</w:t>
            </w:r>
          </w:p>
        </w:tc>
      </w:tr>
    </w:tbl>
    <w:p>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编制部门：杨陵区科学技术局                                           金额单位：万元</w:t>
      </w:r>
    </w:p>
    <w:tbl>
      <w:tblPr>
        <w:tblStyle w:val="9"/>
        <w:tblW w:w="8867" w:type="dxa"/>
        <w:tblInd w:w="0" w:type="dxa"/>
        <w:tblLayout w:type="fixed"/>
        <w:tblCellMar>
          <w:top w:w="15" w:type="dxa"/>
          <w:left w:w="15" w:type="dxa"/>
          <w:bottom w:w="15" w:type="dxa"/>
          <w:right w:w="15" w:type="dxa"/>
        </w:tblCellMar>
      </w:tblPr>
      <w:tblGrid>
        <w:gridCol w:w="927"/>
        <w:gridCol w:w="1782"/>
        <w:gridCol w:w="992"/>
        <w:gridCol w:w="992"/>
        <w:gridCol w:w="567"/>
        <w:gridCol w:w="567"/>
        <w:gridCol w:w="851"/>
        <w:gridCol w:w="708"/>
        <w:gridCol w:w="671"/>
        <w:gridCol w:w="810"/>
      </w:tblGrid>
      <w:tr>
        <w:tblPrEx>
          <w:tblLayout w:type="fixed"/>
          <w:tblCellMar>
            <w:top w:w="15" w:type="dxa"/>
            <w:left w:w="15" w:type="dxa"/>
            <w:bottom w:w="15" w:type="dxa"/>
            <w:right w:w="15" w:type="dxa"/>
          </w:tblCellMar>
        </w:tblPrEx>
        <w:trPr>
          <w:trHeight w:val="439"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9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0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6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Layout w:type="fixed"/>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782"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小计</w:t>
            </w:r>
          </w:p>
        </w:tc>
        <w:tc>
          <w:tcPr>
            <w:tcW w:w="8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其中：教育 收费</w:t>
            </w:r>
          </w:p>
        </w:tc>
        <w:tc>
          <w:tcPr>
            <w:tcW w:w="70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9" w:hRule="atLeast"/>
        </w:trPr>
        <w:tc>
          <w:tcPr>
            <w:tcW w:w="2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207.04</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137.06</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69.99</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财政事务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2010650</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165.13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95.14</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69.99</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科学技术管理事务</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56.83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56.83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2060101</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55.70</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55.70</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2060199</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其他科学技术管理事务支出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科学技术普及</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55.47</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2060799</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其他科学技术普及支出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55.47</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20699</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2069999</w:t>
            </w: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其他科学技术支出</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r>
      <w:tr>
        <w:tblPrEx>
          <w:tblLayout w:type="fixed"/>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8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编制部门：杨陵区科学技术局                                            金额单位：万元</w:t>
      </w:r>
    </w:p>
    <w:tbl>
      <w:tblPr>
        <w:tblStyle w:val="9"/>
        <w:tblW w:w="8896" w:type="dxa"/>
        <w:tblInd w:w="0" w:type="dxa"/>
        <w:tblLayout w:type="fixed"/>
        <w:tblCellMar>
          <w:top w:w="15" w:type="dxa"/>
          <w:left w:w="15" w:type="dxa"/>
          <w:bottom w:w="15" w:type="dxa"/>
          <w:right w:w="15" w:type="dxa"/>
        </w:tblCellMar>
      </w:tblPr>
      <w:tblGrid>
        <w:gridCol w:w="914"/>
        <w:gridCol w:w="83"/>
        <w:gridCol w:w="2137"/>
        <w:gridCol w:w="1134"/>
        <w:gridCol w:w="1276"/>
        <w:gridCol w:w="1134"/>
        <w:gridCol w:w="850"/>
        <w:gridCol w:w="567"/>
        <w:gridCol w:w="801"/>
      </w:tblGrid>
      <w:tr>
        <w:tblPrEx>
          <w:tblLayout w:type="fixed"/>
          <w:tblCellMar>
            <w:top w:w="15" w:type="dxa"/>
            <w:left w:w="15" w:type="dxa"/>
            <w:bottom w:w="15" w:type="dxa"/>
            <w:right w:w="15" w:type="dxa"/>
          </w:tblCellMar>
        </w:tblPrEx>
        <w:trPr>
          <w:trHeight w:val="372" w:hRule="atLeast"/>
        </w:trPr>
        <w:tc>
          <w:tcPr>
            <w:tcW w:w="3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7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13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56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80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对附属单位补助支出</w:t>
            </w:r>
          </w:p>
        </w:tc>
      </w:tr>
      <w:tr>
        <w:tblPrEx>
          <w:tblLayout w:type="fixed"/>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21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56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0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372" w:hRule="atLeast"/>
        </w:trPr>
        <w:tc>
          <w:tcPr>
            <w:tcW w:w="313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210.76</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97.96</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112.79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财政事务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2010650</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168.84</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112.79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科学技术管理事务</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60.55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2060101</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2060199</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其他科学技术管理事务支出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4.49</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4.49</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科学技术普及</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2060799</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其他科学技术普及支出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93.78</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20699</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2069999</w:t>
            </w: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127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14.52</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220" w:type="dxa"/>
            <w:gridSpan w:val="2"/>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276" w:type="dxa"/>
            <w:tcBorders>
              <w:top w:val="single" w:color="000000" w:sz="4" w:space="0"/>
              <w:left w:val="single" w:color="000000" w:sz="4" w:space="0"/>
              <w:bottom w:val="single" w:color="000000" w:sz="4" w:space="0"/>
              <w:right w:val="single" w:color="000000" w:sz="4" w:space="0"/>
            </w:tcBorders>
            <w:vAlign w:val="center"/>
          </w:tcPr>
          <w:p>
            <w:pPr>
              <w:tabs>
                <w:tab w:val="left" w:pos="506"/>
              </w:tabs>
              <w:jc w:val="left"/>
              <w:rPr>
                <w:rFonts w:ascii="宋体" w:hAns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56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0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rPr>
          <w:rFonts w:ascii="宋体" w:hAnsi="宋体" w:cs="宋体"/>
          <w:color w:val="000000"/>
          <w:kern w:val="0"/>
          <w:szCs w:val="21"/>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rPr>
          <w:rFonts w:ascii="宋体" w:hAnsi="宋体" w:cs="宋体"/>
          <w:color w:val="000000"/>
          <w:kern w:val="0"/>
          <w:szCs w:val="21"/>
        </w:rPr>
      </w:pPr>
    </w:p>
    <w:p>
      <w:pPr>
        <w:widowControl/>
        <w:jc w:val="left"/>
      </w:pPr>
    </w:p>
    <w:p>
      <w:pPr>
        <w:jc w:val="center"/>
        <w:rPr>
          <w:rFonts w:ascii="宋体" w:hAnsi="宋体" w:cs="宋体"/>
          <w:b/>
          <w:bCs/>
          <w:sz w:val="32"/>
          <w:szCs w:val="32"/>
        </w:rPr>
      </w:pPr>
      <w:r>
        <w:rPr>
          <w:rFonts w:hint="eastAsia" w:ascii="宋体" w:hAnsi="宋体" w:cs="宋体"/>
          <w:b/>
          <w:bCs/>
          <w:sz w:val="32"/>
          <w:szCs w:val="32"/>
        </w:rPr>
        <w:t>财政拨款收入支出决算总表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tblPrEx>
          <w:tblLayout w:type="fixed"/>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1020"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137.06</w:t>
            </w: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41.91</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41.91</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693"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szCs w:val="21"/>
              </w:rPr>
              <w:t>95.50</w:t>
            </w: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95.50</w:t>
            </w: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p>
        </w:tc>
        <w:tc>
          <w:tcPr>
            <w:tcW w:w="110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p>
        </w:tc>
        <w:tc>
          <w:tcPr>
            <w:tcW w:w="1102"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4" w:type="dxa"/>
            <w:tcBorders>
              <w:top w:val="single" w:color="000000" w:sz="4" w:space="0"/>
              <w:bottom w:val="single" w:color="000000" w:sz="4" w:space="0"/>
              <w:right w:val="single" w:color="000000" w:sz="4" w:space="0"/>
            </w:tcBorders>
            <w:vAlign w:val="center"/>
          </w:tcPr>
          <w:p>
            <w:pPr>
              <w:rPr>
                <w:rFonts w:ascii="宋体" w:hAnsi="宋体" w:cs="宋体"/>
                <w:b/>
                <w:color w:val="000000"/>
                <w:szCs w:val="21"/>
              </w:rPr>
            </w:pP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tblPrEx>
          <w:tblLayout w:type="fixed"/>
          <w:tblCellMar>
            <w:top w:w="15" w:type="dxa"/>
            <w:left w:w="15" w:type="dxa"/>
            <w:bottom w:w="15" w:type="dxa"/>
            <w:right w:w="15" w:type="dxa"/>
          </w:tblCellMar>
        </w:tblPrEx>
        <w:trPr>
          <w:trHeight w:val="578"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tblPrEx>
          <w:tblLayout w:type="fixed"/>
          <w:tblCellMar>
            <w:top w:w="15" w:type="dxa"/>
            <w:left w:w="15" w:type="dxa"/>
            <w:bottom w:w="15" w:type="dxa"/>
            <w:right w:w="15" w:type="dxa"/>
          </w:tblCellMar>
        </w:tblPrEx>
        <w:trPr>
          <w:trHeight w:val="999"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rPr>
              <w:t xml:space="preserve">137.06 </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137.41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137.41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0.35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pPr>
              <w:widowControl/>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0.35</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771"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pPr>
              <w:widowControl/>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r>
        <w:tblPrEx>
          <w:tblLayout w:type="fixed"/>
          <w:tblCellMar>
            <w:top w:w="15" w:type="dxa"/>
            <w:left w:w="15" w:type="dxa"/>
            <w:bottom w:w="15" w:type="dxa"/>
            <w:right w:w="15" w:type="dxa"/>
          </w:tblCellMar>
        </w:tblPrEx>
        <w:trPr>
          <w:trHeight w:val="562" w:hRule="atLeast"/>
        </w:trPr>
        <w:tc>
          <w:tcPr>
            <w:tcW w:w="20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Cs w:val="21"/>
              </w:rPr>
            </w:pPr>
            <w:r>
              <w:rPr>
                <w:rFonts w:hint="eastAsia" w:ascii="宋体" w:hAnsi="宋体" w:cs="宋体"/>
                <w:b/>
                <w:color w:val="000000"/>
                <w:kern w:val="0"/>
                <w:szCs w:val="21"/>
              </w:rPr>
              <w:t>137.41</w:t>
            </w:r>
          </w:p>
        </w:tc>
        <w:tc>
          <w:tcPr>
            <w:tcW w:w="18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137.41</w:t>
            </w:r>
          </w:p>
        </w:tc>
        <w:tc>
          <w:tcPr>
            <w:tcW w:w="106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137.41</w:t>
            </w:r>
          </w:p>
        </w:tc>
        <w:tc>
          <w:tcPr>
            <w:tcW w:w="119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p>
        </w:tc>
      </w:tr>
    </w:tbl>
    <w:p>
      <w:pPr>
        <w:rPr>
          <w:rFonts w:ascii="宋体" w:hAnsi="宋体" w:cs="宋体"/>
          <w:szCs w:val="21"/>
        </w:rPr>
      </w:pPr>
    </w:p>
    <w:p>
      <w:pPr>
        <w:widowControl/>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777" w:type="dxa"/>
        <w:tblInd w:w="0" w:type="dxa"/>
        <w:tblLayout w:type="fixed"/>
        <w:tblCellMar>
          <w:top w:w="15" w:type="dxa"/>
          <w:left w:w="15" w:type="dxa"/>
          <w:bottom w:w="15" w:type="dxa"/>
          <w:right w:w="15" w:type="dxa"/>
        </w:tblCellMar>
      </w:tblPr>
      <w:tblGrid>
        <w:gridCol w:w="1008"/>
        <w:gridCol w:w="1842"/>
        <w:gridCol w:w="863"/>
        <w:gridCol w:w="1020"/>
        <w:gridCol w:w="935"/>
        <w:gridCol w:w="1039"/>
        <w:gridCol w:w="1020"/>
        <w:gridCol w:w="1050"/>
      </w:tblGrid>
      <w:tr>
        <w:tblPrEx>
          <w:tblLayout w:type="fixed"/>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8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14" w:hRule="atLeast"/>
        </w:trPr>
        <w:tc>
          <w:tcPr>
            <w:tcW w:w="285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137.41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97.96</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94.35</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39.45</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一般公共服务支出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财政事务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781"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2010650</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事业运行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41.91</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95.5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935" w:type="dxa"/>
            <w:tcBorders>
              <w:top w:val="single" w:color="000000" w:sz="4" w:space="0"/>
              <w:left w:val="single" w:color="000000" w:sz="4" w:space="0"/>
              <w:bottom w:val="single" w:color="000000" w:sz="4" w:space="0"/>
              <w:right w:val="single" w:color="000000" w:sz="4" w:space="0"/>
            </w:tcBorders>
            <w:vAlign w:val="center"/>
          </w:tcPr>
          <w:p>
            <w:pPr>
              <w:wordWrap w:val="0"/>
              <w:jc w:val="right"/>
              <w:rPr>
                <w:rFonts w:ascii="宋体" w:hAnsi="宋体" w:cs="宋体"/>
                <w:color w:val="000000"/>
                <w:szCs w:val="21"/>
              </w:rPr>
            </w:pPr>
            <w:r>
              <w:rPr>
                <w:rFonts w:hint="eastAsia" w:ascii="宋体" w:hAnsi="宋体" w:cs="宋体"/>
                <w:color w:val="000000"/>
                <w:szCs w:val="21"/>
              </w:rPr>
              <w:t xml:space="preserve">52.44 </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科学技术管理事务</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57.19</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52.44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2060101</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行政运行</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56.05</w:t>
            </w: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52.44</w:t>
            </w: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2060199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其他科学技术管理事务支出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科学技术普及</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2060799</w:t>
            </w: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其他科学技术普及支出</w:t>
            </w: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38.31</w:t>
            </w: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14" w:hRule="atLeast"/>
        </w:trPr>
        <w:tc>
          <w:tcPr>
            <w:tcW w:w="1008"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84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8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ind w:firstLine="2100" w:firstLineChars="100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Layout w:type="fixed"/>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97.96</w:t>
            </w:r>
          </w:p>
        </w:tc>
        <w:tc>
          <w:tcPr>
            <w:tcW w:w="1437"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94.35</w:t>
            </w:r>
          </w:p>
        </w:tc>
        <w:tc>
          <w:tcPr>
            <w:tcW w:w="1363"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3.61</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工资福利支出 </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82.97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82.97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18.59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18.59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26.88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26.88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30103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14.61</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15.69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Cs w:val="21"/>
              </w:rPr>
            </w:pPr>
            <w:r>
              <w:rPr>
                <w:rFonts w:hint="eastAsia" w:ascii="宋体" w:hAnsi="宋体" w:cs="宋体"/>
                <w:color w:val="000000"/>
                <w:kern w:val="0"/>
                <w:szCs w:val="21"/>
              </w:rPr>
              <w:t xml:space="preserve">  30108</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7.20</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7.20</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3.61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30201</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0.71</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0.71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30202</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0.23</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0.23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30207</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邮电费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0.35</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0.35</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2.27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11.38</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11.38</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2.09</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2.09</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ind w:firstLine="210" w:firstLineChars="100"/>
              <w:jc w:val="left"/>
              <w:rPr>
                <w:rFonts w:ascii="宋体" w:hAnsi="宋体" w:cs="宋体"/>
                <w:color w:val="000000"/>
                <w:szCs w:val="21"/>
              </w:rPr>
            </w:pPr>
            <w:r>
              <w:rPr>
                <w:rFonts w:hint="eastAsia" w:ascii="宋体" w:hAnsi="宋体" w:cs="宋体"/>
                <w:color w:val="000000"/>
                <w:szCs w:val="21"/>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0.07</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0.07</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30311</w:t>
            </w: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r>
              <w:rPr>
                <w:rFonts w:hint="eastAsia" w:ascii="宋体" w:hAnsi="宋体" w:cs="宋体"/>
                <w:color w:val="000000"/>
                <w:szCs w:val="21"/>
              </w:rPr>
              <w:t>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9.22</w:t>
            </w: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r>
              <w:rPr>
                <w:rFonts w:hint="eastAsia" w:ascii="宋体" w:hAnsi="宋体" w:cs="宋体"/>
                <w:color w:val="000000"/>
                <w:szCs w:val="21"/>
              </w:rPr>
              <w:t>9.22</w:t>
            </w: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2046"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65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4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6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Layout w:type="fixed"/>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Layout w:type="fixed"/>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1.46</w:t>
            </w: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0.43</w:t>
            </w: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r>
              <w:rPr>
                <w:rFonts w:hint="eastAsia" w:ascii="宋体" w:hAnsi="宋体" w:cs="宋体"/>
                <w:b/>
                <w:color w:val="000000"/>
                <w:szCs w:val="21"/>
              </w:rPr>
              <w:t>1.03</w:t>
            </w: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7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bl>
    <w:p>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编制部门：杨陵区科学技术局                                            金额单位：万元</w:t>
      </w:r>
    </w:p>
    <w:tbl>
      <w:tblPr>
        <w:tblStyle w:val="9"/>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tblPrEx>
          <w:tblLayout w:type="fixed"/>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Layout w:type="fixed"/>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pPr>
        <w:rPr>
          <w:rFonts w:ascii="宋体" w:hAnsi="宋体" w:cs="宋体"/>
          <w:szCs w:val="21"/>
        </w:rPr>
      </w:pPr>
    </w:p>
    <w:p>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pPr>
        <w:widowControl/>
        <w:rPr>
          <w:rFonts w:ascii="黑体" w:hAnsi="宋体" w:eastAsia="黑体"/>
          <w:color w:val="000000"/>
          <w:kern w:val="0"/>
          <w:sz w:val="44"/>
          <w:szCs w:val="44"/>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一、收入支出决算总体情况说明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2019年收入207.04万元，比上年减少10.53%，减少的主要原因是项目资金减少。</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9100" cy="1786255"/>
            <wp:effectExtent l="19050" t="0" r="24977" b="4234"/>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2019年支出210.76万元，及比上年减少13.9%，减少的主要原因是项目资金减少。</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drawing>
          <wp:inline distT="0" distB="0" distL="0" distR="0">
            <wp:extent cx="5494655" cy="1540510"/>
            <wp:effectExtent l="19050" t="0" r="10372" b="2117"/>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rPr>
        <w:t>207.04</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rPr>
        <w:t>137.06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66.19</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rPr>
        <w:t>69.99万</w:t>
      </w:r>
      <w:r>
        <w:rPr>
          <w:rFonts w:ascii="仿宋_GB2312" w:hAnsi="宋体" w:eastAsia="仿宋_GB2312" w:cs="仿宋_GB2312"/>
          <w:color w:val="000000"/>
          <w:kern w:val="0"/>
          <w:sz w:val="32"/>
          <w:szCs w:val="32"/>
        </w:rPr>
        <w:t>元，占</w:t>
      </w:r>
      <w:r>
        <w:rPr>
          <w:rFonts w:hint="eastAsia" w:ascii="仿宋_GB2312" w:hAnsi="宋体" w:eastAsia="仿宋_GB2312" w:cs="仿宋_GB2312"/>
          <w:color w:val="000000"/>
          <w:kern w:val="0"/>
          <w:sz w:val="32"/>
          <w:szCs w:val="32"/>
        </w:rPr>
        <w:t>33.81</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975860" cy="2370455"/>
            <wp:effectExtent l="19050" t="0" r="14817"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widowControl/>
        <w:ind w:firstLine="640" w:firstLineChars="200"/>
        <w:jc w:val="left"/>
        <w:rPr>
          <w:rFonts w:ascii="黑体" w:hAnsi="黑体" w:eastAsia="黑体"/>
        </w:rPr>
      </w:pPr>
      <w:r>
        <w:rPr>
          <w:rFonts w:hint="eastAsia" w:ascii="黑体" w:hAnsi="黑体" w:eastAsia="黑体"/>
          <w:color w:val="000000"/>
          <w:kern w:val="0"/>
          <w:sz w:val="32"/>
          <w:szCs w:val="32"/>
        </w:rPr>
        <w:t xml:space="preserve">三、支出决算情况说明  </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rPr>
        <w:t>210.76</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rPr>
        <w:t>97.96</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46.48</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rPr>
        <w:t>112.79</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53.52</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w:t>
      </w:r>
    </w:p>
    <w:p>
      <w:pPr>
        <w:widowControl/>
        <w:ind w:firstLine="420" w:firstLineChars="200"/>
        <w:jc w:val="left"/>
      </w:pPr>
      <w:r>
        <w:drawing>
          <wp:inline distT="0" distB="0" distL="0" distR="0">
            <wp:extent cx="4826000" cy="2378710"/>
            <wp:effectExtent l="19050" t="0" r="12489" b="2116"/>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widowControl/>
        <w:ind w:firstLine="640" w:firstLineChars="200"/>
        <w:jc w:val="left"/>
        <w:rPr>
          <w:rFonts w:ascii="黑体" w:hAnsi="黑体" w:eastAsia="黑体"/>
          <w:color w:val="000000"/>
          <w:kern w:val="0"/>
          <w:sz w:val="32"/>
          <w:szCs w:val="32"/>
        </w:rPr>
      </w:pP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收入137.06万元，总体情况及比上年减少36.05%，减少的主要原因是项目资金减少。</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494655" cy="1769110"/>
            <wp:effectExtent l="19050" t="0" r="10372" b="2116"/>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widowControl/>
        <w:ind w:firstLine="640" w:firstLineChars="200"/>
        <w:jc w:val="left"/>
        <w:rPr>
          <w:rFonts w:ascii="仿宋_GB2312" w:hAnsi="仿宋" w:eastAsia="仿宋_GB2312"/>
          <w:sz w:val="32"/>
          <w:szCs w:val="32"/>
        </w:rPr>
      </w:pPr>
      <w:r>
        <w:rPr>
          <w:rFonts w:hint="eastAsia" w:ascii="仿宋_GB2312" w:hAnsi="仿宋" w:eastAsia="仿宋_GB2312"/>
          <w:sz w:val="32"/>
          <w:szCs w:val="32"/>
        </w:rPr>
        <w:t>2019年</w:t>
      </w:r>
      <w:r>
        <w:rPr>
          <w:rFonts w:ascii="仿宋_GB2312" w:hAnsi="宋体" w:eastAsia="仿宋_GB2312" w:cs="仿宋_GB2312"/>
          <w:color w:val="000000"/>
          <w:kern w:val="0"/>
          <w:sz w:val="32"/>
          <w:szCs w:val="32"/>
        </w:rPr>
        <w:t>财政拨款</w:t>
      </w:r>
      <w:r>
        <w:rPr>
          <w:rFonts w:hint="eastAsia" w:ascii="仿宋_GB2312" w:hAnsi="仿宋" w:eastAsia="仿宋_GB2312"/>
          <w:sz w:val="32"/>
          <w:szCs w:val="32"/>
        </w:rPr>
        <w:t>支出137.41万元，总体情况及比上年减少38.96%，主要原因</w:t>
      </w:r>
      <w:r>
        <w:rPr>
          <w:rFonts w:hint="eastAsia" w:ascii="仿宋_GB2312" w:hAnsi="宋体" w:eastAsia="仿宋_GB2312" w:cs="仿宋_GB2312"/>
          <w:color w:val="000000"/>
          <w:kern w:val="0"/>
          <w:sz w:val="32"/>
          <w:szCs w:val="32"/>
        </w:rPr>
        <w:t>日常公用经费减少、项目资金减少</w:t>
      </w:r>
      <w:r>
        <w:rPr>
          <w:rFonts w:hint="eastAsia" w:ascii="仿宋_GB2312" w:hAnsi="仿宋" w:eastAsia="仿宋_GB2312"/>
          <w:sz w:val="32"/>
          <w:szCs w:val="32"/>
        </w:rPr>
        <w:t>。</w:t>
      </w:r>
    </w:p>
    <w:p>
      <w:pPr>
        <w:widowControl/>
        <w:ind w:firstLine="640" w:firstLineChars="200"/>
        <w:jc w:val="left"/>
        <w:rPr>
          <w:rFonts w:ascii="仿宋_GB2312" w:hAnsi="仿宋" w:eastAsia="仿宋_GB2312"/>
          <w:sz w:val="32"/>
          <w:szCs w:val="32"/>
        </w:rPr>
      </w:pPr>
      <w:r>
        <w:rPr>
          <w:rFonts w:ascii="仿宋_GB2312" w:hAnsi="仿宋" w:eastAsia="仿宋_GB2312"/>
          <w:sz w:val="32"/>
          <w:szCs w:val="32"/>
        </w:rPr>
        <w:drawing>
          <wp:inline distT="0" distB="0" distL="0" distR="0">
            <wp:extent cx="5289550" cy="1938655"/>
            <wp:effectExtent l="19050" t="0" r="25400" b="4233"/>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pPr>
        <w:widowControl/>
        <w:ind w:firstLine="643" w:firstLineChars="200"/>
        <w:jc w:val="left"/>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rPr>
        <w:t>137.41</w:t>
      </w:r>
      <w:r>
        <w:rPr>
          <w:rFonts w:ascii="仿宋_GB2312" w:hAnsi="宋体" w:eastAsia="仿宋_GB2312" w:cs="仿宋_GB2312"/>
          <w:color w:val="000000"/>
          <w:kern w:val="0"/>
          <w:sz w:val="32"/>
          <w:szCs w:val="32"/>
        </w:rPr>
        <w:t>万元，占本年支出合计的</w:t>
      </w:r>
      <w:r>
        <w:rPr>
          <w:rFonts w:hint="eastAsia" w:ascii="仿宋_GB2312" w:hAnsi="宋体" w:eastAsia="仿宋_GB2312" w:cs="仿宋_GB2312"/>
          <w:color w:val="000000"/>
          <w:kern w:val="0"/>
          <w:sz w:val="32"/>
          <w:szCs w:val="32"/>
        </w:rPr>
        <w:t>65.2</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w:t>
      </w:r>
      <w:r>
        <w:rPr>
          <w:rFonts w:hint="eastAsia" w:ascii="仿宋_GB2312" w:hAnsi="宋体" w:eastAsia="仿宋_GB2312" w:cs="仿宋_GB2312"/>
          <w:color w:val="000000"/>
          <w:kern w:val="0"/>
          <w:sz w:val="32"/>
          <w:szCs w:val="32"/>
        </w:rPr>
        <w:t>减少87.71</w:t>
      </w:r>
      <w:r>
        <w:rPr>
          <w:rFonts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rPr>
        <w:t>减少38.96</w:t>
      </w:r>
      <w:r>
        <w:rPr>
          <w:rFonts w:ascii="仿宋_GB2312" w:hAnsi="宋体" w:eastAsia="仿宋_GB2312" w:cs="仿宋_GB2312"/>
          <w:color w:val="000000"/>
          <w:kern w:val="0"/>
          <w:sz w:val="32"/>
          <w:szCs w:val="32"/>
        </w:rPr>
        <w:t>%，主要</w:t>
      </w:r>
      <w:r>
        <w:rPr>
          <w:rFonts w:hint="eastAsia" w:ascii="仿宋_GB2312" w:hAnsi="宋体" w:eastAsia="仿宋_GB2312" w:cs="仿宋_GB2312"/>
          <w:color w:val="000000"/>
          <w:kern w:val="0"/>
          <w:sz w:val="32"/>
          <w:szCs w:val="32"/>
        </w:rPr>
        <w:t>原因是日常公用经费减少、项目资金减少。</w:t>
      </w:r>
    </w:p>
    <w:p>
      <w:pPr>
        <w:widowControl/>
        <w:ind w:firstLine="420" w:firstLineChars="200"/>
        <w:jc w:val="left"/>
      </w:pPr>
      <w:r>
        <w:drawing>
          <wp:inline distT="0" distB="0" distL="0" distR="0">
            <wp:extent cx="5340350" cy="1854200"/>
            <wp:effectExtent l="19050" t="0" r="1270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rPr>
        <w:t>158.73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137.41</w:t>
      </w:r>
      <w:r>
        <w:rPr>
          <w:rFonts w:ascii="仿宋_GB2312" w:hAnsi="宋体" w:eastAsia="仿宋_GB2312" w:cs="仿宋_GB2312"/>
          <w:color w:val="000000"/>
          <w:kern w:val="0"/>
          <w:sz w:val="32"/>
          <w:szCs w:val="32"/>
        </w:rPr>
        <w:t>万元，完成年初预算</w:t>
      </w:r>
      <w:r>
        <w:rPr>
          <w:rFonts w:hint="eastAsia" w:ascii="仿宋_GB2312" w:hAnsi="宋体" w:eastAsia="仿宋_GB2312" w:cs="仿宋_GB2312"/>
          <w:color w:val="000000"/>
          <w:kern w:val="0"/>
          <w:sz w:val="32"/>
          <w:szCs w:val="32"/>
        </w:rPr>
        <w:t>的86.57</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p>
    <w:p>
      <w:pPr>
        <w:widowControl/>
        <w:ind w:firstLine="643" w:firstLineChars="200"/>
        <w:jc w:val="left"/>
      </w:pPr>
      <w:r>
        <w:rPr>
          <w:rFonts w:ascii="仿宋_GB2312" w:hAnsi="宋体" w:eastAsia="仿宋_GB2312" w:cs="仿宋_GB2312"/>
          <w:b/>
          <w:color w:val="000000"/>
          <w:kern w:val="0"/>
          <w:sz w:val="32"/>
          <w:szCs w:val="32"/>
        </w:rPr>
        <w:t>1.一般公共服务支出（类）财政事务（款）</w:t>
      </w:r>
      <w:r>
        <w:rPr>
          <w:rFonts w:hint="eastAsia" w:ascii="仿宋_GB2312" w:hAnsi="宋体" w:eastAsia="仿宋_GB2312" w:cs="仿宋_GB2312"/>
          <w:b/>
          <w:color w:val="000000"/>
          <w:kern w:val="0"/>
          <w:sz w:val="32"/>
          <w:szCs w:val="32"/>
        </w:rPr>
        <w:t>事业</w:t>
      </w:r>
      <w:r>
        <w:rPr>
          <w:rFonts w:ascii="仿宋_GB2312" w:hAnsi="宋体" w:eastAsia="仿宋_GB2312" w:cs="仿宋_GB2312"/>
          <w:b/>
          <w:color w:val="000000"/>
          <w:kern w:val="0"/>
          <w:sz w:val="32"/>
          <w:szCs w:val="32"/>
        </w:rPr>
        <w:t xml:space="preserve">运行（项）。 </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42</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41.91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99.79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事业单位人员独生子女费减少。</w:t>
      </w:r>
    </w:p>
    <w:p>
      <w:pPr>
        <w:widowControl/>
        <w:ind w:firstLine="640" w:firstLineChars="200"/>
        <w:jc w:val="left"/>
        <w:rPr>
          <w:rFonts w:ascii="仿宋_GB2312" w:hAnsi="宋体" w:eastAsia="仿宋_GB2312" w:cs="仿宋_GB2312"/>
          <w:b/>
          <w:color w:val="000000"/>
          <w:kern w:val="0"/>
          <w:sz w:val="32"/>
          <w:szCs w:val="32"/>
        </w:rPr>
      </w:pPr>
      <w:r>
        <w:rPr>
          <w:rFonts w:ascii="仿宋_GB2312" w:hAnsi="宋体" w:eastAsia="仿宋_GB2312" w:cs="仿宋_GB2312"/>
          <w:color w:val="000000"/>
          <w:kern w:val="0"/>
          <w:sz w:val="32"/>
          <w:szCs w:val="32"/>
        </w:rPr>
        <w:t>2.</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科学技术支出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科学技术管理事务</w:t>
      </w:r>
      <w:r>
        <w:rPr>
          <w:rFonts w:ascii="仿宋_GB2312" w:hAnsi="宋体" w:eastAsia="仿宋_GB2312" w:cs="仿宋_GB2312"/>
          <w:b/>
          <w:color w:val="000000"/>
          <w:kern w:val="0"/>
          <w:sz w:val="32"/>
          <w:szCs w:val="32"/>
        </w:rPr>
        <w:t>（款）行政运行（项）。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86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56.06</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65.19</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小于</w:t>
      </w:r>
      <w:r>
        <w:rPr>
          <w:rFonts w:ascii="仿宋_GB2312" w:hAnsi="宋体" w:eastAsia="仿宋_GB2312" w:cs="仿宋_GB2312"/>
          <w:color w:val="000000"/>
          <w:kern w:val="0"/>
          <w:sz w:val="32"/>
          <w:szCs w:val="32"/>
        </w:rPr>
        <w:t>预算数的主要原因是</w:t>
      </w:r>
      <w:r>
        <w:rPr>
          <w:rFonts w:hint="eastAsia" w:ascii="仿宋_GB2312" w:hAnsi="宋体" w:eastAsia="仿宋_GB2312" w:cs="仿宋_GB2312"/>
          <w:color w:val="000000"/>
          <w:kern w:val="0"/>
          <w:sz w:val="32"/>
          <w:szCs w:val="32"/>
        </w:rPr>
        <w:t>日常公用经费减少。</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3</w:t>
      </w:r>
      <w:r>
        <w:rPr>
          <w:rFonts w:ascii="仿宋_GB2312" w:hAnsi="宋体" w:eastAsia="仿宋_GB2312" w:cs="仿宋_GB2312"/>
          <w:color w:val="000000"/>
          <w:kern w:val="0"/>
          <w:sz w:val="32"/>
          <w:szCs w:val="32"/>
        </w:rPr>
        <w:t>.</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科学技术支出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科学技术管理事务</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其他科学技术管理事务支出</w:t>
      </w:r>
      <w:r>
        <w:rPr>
          <w:rFonts w:ascii="仿宋_GB2312" w:hAnsi="宋体" w:eastAsia="仿宋_GB2312" w:cs="仿宋_GB2312"/>
          <w:b/>
          <w:color w:val="000000"/>
          <w:kern w:val="0"/>
          <w:sz w:val="32"/>
          <w:szCs w:val="32"/>
        </w:rPr>
        <w:t>（项）。</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1.13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1.13</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与</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持平。</w:t>
      </w:r>
    </w:p>
    <w:p>
      <w:pPr>
        <w:widowControl/>
        <w:ind w:firstLine="640" w:firstLineChars="200"/>
        <w:jc w:val="left"/>
        <w:rPr>
          <w:rFonts w:ascii="仿宋_GB2312" w:hAnsi="宋体" w:eastAsia="仿宋_GB2312" w:cs="仿宋_GB2312"/>
          <w:b/>
          <w:color w:val="000000"/>
          <w:kern w:val="0"/>
          <w:sz w:val="32"/>
          <w:szCs w:val="32"/>
        </w:rPr>
      </w:pPr>
      <w:r>
        <w:rPr>
          <w:rFonts w:hint="eastAsia" w:ascii="仿宋_GB2312" w:hAnsi="宋体" w:eastAsia="仿宋_GB2312" w:cs="仿宋_GB2312"/>
          <w:color w:val="000000"/>
          <w:kern w:val="0"/>
          <w:sz w:val="32"/>
          <w:szCs w:val="32"/>
        </w:rPr>
        <w:t>4</w:t>
      </w:r>
      <w:r>
        <w:rPr>
          <w:rFonts w:ascii="仿宋_GB2312" w:hAnsi="宋体" w:eastAsia="仿宋_GB2312" w:cs="仿宋_GB2312"/>
          <w:color w:val="000000"/>
          <w:kern w:val="0"/>
          <w:sz w:val="32"/>
          <w:szCs w:val="32"/>
        </w:rPr>
        <w:t>.</w:t>
      </w:r>
      <w:r>
        <w:rPr>
          <w:rFonts w:ascii="仿宋_GB2312" w:hAnsi="宋体" w:eastAsia="仿宋_GB2312" w:cs="仿宋_GB2312"/>
          <w:b/>
          <w:color w:val="000000"/>
          <w:kern w:val="0"/>
          <w:sz w:val="32"/>
          <w:szCs w:val="32"/>
        </w:rPr>
        <w:t xml:space="preserve"> </w:t>
      </w:r>
      <w:r>
        <w:rPr>
          <w:rFonts w:hint="eastAsia" w:ascii="仿宋_GB2312" w:hAnsi="宋体" w:eastAsia="仿宋_GB2312" w:cs="仿宋_GB2312"/>
          <w:b/>
          <w:color w:val="000000"/>
          <w:kern w:val="0"/>
          <w:sz w:val="32"/>
          <w:szCs w:val="32"/>
        </w:rPr>
        <w:t>科学技术支出</w:t>
      </w:r>
      <w:r>
        <w:rPr>
          <w:rFonts w:ascii="仿宋_GB2312" w:hAnsi="宋体" w:eastAsia="仿宋_GB2312" w:cs="仿宋_GB2312"/>
          <w:b/>
          <w:color w:val="000000"/>
          <w:kern w:val="0"/>
          <w:sz w:val="32"/>
          <w:szCs w:val="32"/>
        </w:rPr>
        <w:t>（类）</w:t>
      </w:r>
      <w:r>
        <w:rPr>
          <w:rFonts w:hint="eastAsia" w:ascii="仿宋_GB2312" w:hAnsi="宋体" w:eastAsia="仿宋_GB2312" w:cs="仿宋_GB2312"/>
          <w:b/>
          <w:color w:val="000000"/>
          <w:kern w:val="0"/>
          <w:sz w:val="32"/>
          <w:szCs w:val="32"/>
        </w:rPr>
        <w:t>科学技术普及</w:t>
      </w:r>
      <w:r>
        <w:rPr>
          <w:rFonts w:ascii="仿宋_GB2312" w:hAnsi="宋体" w:eastAsia="仿宋_GB2312" w:cs="仿宋_GB2312"/>
          <w:b/>
          <w:color w:val="000000"/>
          <w:kern w:val="0"/>
          <w:sz w:val="32"/>
          <w:szCs w:val="32"/>
        </w:rPr>
        <w:t>（款）</w:t>
      </w:r>
      <w:r>
        <w:rPr>
          <w:rFonts w:hint="eastAsia" w:ascii="仿宋_GB2312" w:hAnsi="宋体" w:eastAsia="仿宋_GB2312" w:cs="仿宋_GB2312"/>
          <w:b/>
          <w:color w:val="000000"/>
          <w:kern w:val="0"/>
          <w:sz w:val="32"/>
          <w:szCs w:val="32"/>
        </w:rPr>
        <w:t>其他科学技术普及支出</w:t>
      </w:r>
      <w:r>
        <w:rPr>
          <w:rFonts w:ascii="仿宋_GB2312" w:hAnsi="宋体" w:eastAsia="仿宋_GB2312" w:cs="仿宋_GB2312"/>
          <w:b/>
          <w:color w:val="000000"/>
          <w:kern w:val="0"/>
          <w:sz w:val="32"/>
          <w:szCs w:val="32"/>
        </w:rPr>
        <w:t>（项）。</w:t>
      </w:r>
    </w:p>
    <w:p>
      <w:pPr>
        <w:widowControl/>
        <w:ind w:firstLine="640" w:firstLineChars="200"/>
        <w:jc w:val="left"/>
      </w:pPr>
      <w:r>
        <w:rPr>
          <w:rFonts w:ascii="仿宋_GB2312" w:hAnsi="宋体" w:eastAsia="仿宋_GB2312" w:cs="仿宋_GB2312"/>
          <w:color w:val="000000"/>
          <w:kern w:val="0"/>
          <w:sz w:val="32"/>
          <w:szCs w:val="32"/>
        </w:rPr>
        <w:t>年初预算为</w:t>
      </w:r>
      <w:r>
        <w:rPr>
          <w:rFonts w:hint="eastAsia" w:ascii="仿宋_GB2312" w:hAnsi="宋体" w:eastAsia="仿宋_GB2312" w:cs="仿宋_GB2312"/>
          <w:color w:val="000000"/>
          <w:kern w:val="0"/>
          <w:sz w:val="32"/>
          <w:szCs w:val="32"/>
        </w:rPr>
        <w:t>29.6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38.31</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rPr>
        <w:t>129.43</w:t>
      </w:r>
      <w:r>
        <w:rPr>
          <w:rFonts w:ascii="仿宋_GB2312" w:hAnsi="宋体" w:eastAsia="仿宋_GB2312" w:cs="仿宋_GB2312"/>
          <w:color w:val="000000"/>
          <w:kern w:val="0"/>
          <w:sz w:val="32"/>
          <w:szCs w:val="32"/>
        </w:rPr>
        <w:t>%。决算数大于预算数的主要原因是</w:t>
      </w:r>
      <w:r>
        <w:rPr>
          <w:rFonts w:hint="eastAsia" w:ascii="仿宋_GB2312" w:hAnsi="宋体" w:eastAsia="仿宋_GB2312" w:cs="仿宋_GB2312"/>
          <w:color w:val="000000"/>
          <w:kern w:val="0"/>
          <w:sz w:val="32"/>
          <w:szCs w:val="32"/>
        </w:rPr>
        <w:t>对企业补助的费用补贴增加。</w:t>
      </w:r>
    </w:p>
    <w:p>
      <w:pPr>
        <w:spacing w:line="360" w:lineRule="auto"/>
        <w:ind w:firstLine="640" w:firstLineChars="200"/>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pPr>
        <w:widowControl/>
        <w:ind w:firstLine="620" w:firstLineChars="200"/>
        <w:jc w:val="left"/>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rPr>
        <w:t>97.96</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rPr>
        <w:t>94.35</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rPr>
        <w:t>3.61</w:t>
      </w:r>
      <w:r>
        <w:rPr>
          <w:rFonts w:ascii="仿宋_GB2312" w:hAnsi="仿宋_GB2312" w:eastAsia="仿宋_GB2312" w:cs="仿宋_GB2312"/>
          <w:color w:val="000000"/>
          <w:kern w:val="0"/>
          <w:sz w:val="31"/>
          <w:szCs w:val="31"/>
        </w:rPr>
        <w:t>万元。</w:t>
      </w:r>
    </w:p>
    <w:p>
      <w:pPr>
        <w:widowControl/>
        <w:ind w:firstLine="643" w:firstLineChars="200"/>
        <w:jc w:val="left"/>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rPr>
        <w:t>94.35</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基本工资</w:t>
      </w:r>
      <w:r>
        <w:rPr>
          <w:rFonts w:hint="eastAsia" w:ascii="仿宋_GB2312" w:hAnsi="宋体" w:eastAsia="仿宋_GB2312" w:cs="仿宋_GB2312"/>
          <w:color w:val="000000"/>
          <w:kern w:val="0"/>
          <w:sz w:val="32"/>
          <w:szCs w:val="32"/>
        </w:rPr>
        <w:t>18.59万元；津贴补贴26.88万元；奖金14.61万元；绩效工资15.69万元；机关事业单位基本养老保险缴费7.20万元；生活补贴2.09万元；奖励金0.07万元；住房公积金9.22万元。</w:t>
      </w:r>
    </w:p>
    <w:p>
      <w:pPr>
        <w:widowControl/>
        <w:ind w:firstLine="643" w:firstLineChars="200"/>
        <w:jc w:val="left"/>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rPr>
        <w:t>3.61</w:t>
      </w:r>
      <w:r>
        <w:rPr>
          <w:rFonts w:ascii="仿宋_GB2312" w:hAnsi="宋体" w:eastAsia="仿宋_GB2312" w:cs="仿宋_GB2312"/>
          <w:color w:val="000000"/>
          <w:kern w:val="0"/>
          <w:sz w:val="32"/>
          <w:szCs w:val="32"/>
        </w:rPr>
        <w:t>万元，主要包括</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办公费</w:t>
      </w:r>
      <w:r>
        <w:rPr>
          <w:rFonts w:hint="eastAsia" w:ascii="仿宋_GB2312" w:hAnsi="宋体" w:eastAsia="仿宋_GB2312" w:cs="仿宋_GB2312"/>
          <w:color w:val="000000"/>
          <w:kern w:val="0"/>
          <w:sz w:val="32"/>
          <w:szCs w:val="32"/>
        </w:rPr>
        <w:t>0.71万元；印刷费0.23万元；邮电费0.35万元；维修（护）费0.06万元；其他交通费2.27万元。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pPr>
        <w:widowControl/>
        <w:ind w:firstLine="643" w:firstLineChars="200"/>
        <w:jc w:val="left"/>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40" w:firstLineChars="200"/>
        <w:jc w:val="left"/>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rPr>
        <w:t>1.46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减少1.46万元，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本年度无公务接待及公务用车。</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pPr>
        <w:widowControl/>
        <w:ind w:firstLine="640" w:firstLineChars="200"/>
        <w:jc w:val="left"/>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费支出0万元，占0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%。具体情况如下：</w:t>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2019年因公出国（境）团组</w:t>
      </w:r>
      <w:r>
        <w:rPr>
          <w:rFonts w:hint="eastAsia" w:ascii="仿宋_GB2312" w:hAnsi="仿宋_GB2312" w:eastAsia="仿宋_GB2312" w:cs="仿宋_GB2312"/>
          <w:sz w:val="32"/>
          <w:szCs w:val="32"/>
        </w:rPr>
        <w:t>0个，0人次，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ind w:firstLine="420" w:firstLineChars="200"/>
        <w:jc w:val="left"/>
      </w:pPr>
      <w:r>
        <w:drawing>
          <wp:inline distT="0" distB="0" distL="0" distR="0">
            <wp:extent cx="5162550" cy="1769110"/>
            <wp:effectExtent l="19050" t="0" r="19050" b="2116"/>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2019年购置车辆</w:t>
      </w:r>
      <w:r>
        <w:rPr>
          <w:rFonts w:hint="eastAsia" w:ascii="仿宋_GB2312" w:hAnsi="仿宋_GB2312" w:eastAsia="仿宋_GB2312" w:cs="仿宋_GB2312"/>
          <w:sz w:val="32"/>
          <w:szCs w:val="32"/>
        </w:rPr>
        <w:t>0台，</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widowControl/>
        <w:ind w:firstLine="420" w:firstLineChars="200"/>
        <w:jc w:val="left"/>
      </w:pPr>
      <w:r>
        <w:drawing>
          <wp:inline distT="0" distB="0" distL="0" distR="0">
            <wp:extent cx="4603750" cy="1651000"/>
            <wp:effectExtent l="19050" t="0" r="25400" b="6350"/>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ind w:firstLine="643" w:firstLineChars="200"/>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1.03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减少1.03万元，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本年度无公务用车。</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823460" cy="1862455"/>
            <wp:effectExtent l="19050" t="0" r="14817" b="4233"/>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ind w:firstLine="643" w:firstLineChars="200"/>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rPr>
        <w:t>0批次，0人次，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0.43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0%，决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减少0.43万元，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rPr>
        <w:t>本年度无公务接待。</w:t>
      </w:r>
    </w:p>
    <w:p>
      <w:pPr>
        <w:widowControl/>
        <w:ind w:firstLine="640" w:firstLineChars="200"/>
        <w:jc w:val="left"/>
        <w:rPr>
          <w:rFonts w:ascii="仿宋_GB2312" w:hAnsi="宋体" w:eastAsia="仿宋_GB2312" w:cs="仿宋_GB2312"/>
          <w:color w:val="000000"/>
          <w:kern w:val="0"/>
          <w:sz w:val="32"/>
          <w:szCs w:val="32"/>
        </w:rPr>
      </w:pPr>
      <w:r>
        <w:rPr>
          <w:rFonts w:ascii="仿宋_GB2312" w:hAnsi="宋体" w:eastAsia="仿宋_GB2312" w:cs="仿宋_GB2312"/>
          <w:color w:val="000000"/>
          <w:kern w:val="0"/>
          <w:sz w:val="32"/>
          <w:szCs w:val="32"/>
        </w:rPr>
        <w:drawing>
          <wp:inline distT="0" distB="0" distL="0" distR="0">
            <wp:extent cx="4400550" cy="2006600"/>
            <wp:effectExtent l="19050" t="0" r="19050" b="0"/>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spacing w:line="360" w:lineRule="auto"/>
        <w:ind w:firstLine="643" w:firstLineChars="200"/>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pPr>
        <w:widowControl/>
        <w:ind w:firstLine="640" w:firstLineChars="200"/>
        <w:jc w:val="left"/>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0</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减少（增加）0万元。</w:t>
      </w:r>
    </w:p>
    <w:p>
      <w:pPr>
        <w:ind w:firstLine="640" w:firstLineChars="200"/>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本部门无政府性基金决算收支，并已公开空表。</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本部门无国有资本经营决算拨款收支。</w:t>
      </w:r>
    </w:p>
    <w:p>
      <w:pPr>
        <w:widowControl/>
        <w:ind w:firstLine="640" w:firstLineChars="200"/>
        <w:jc w:val="left"/>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pPr>
        <w:widowControl/>
        <w:ind w:left="1281" w:leftChars="304" w:hanging="643" w:hanging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r>
        <w:rPr>
          <w:rFonts w:hint="eastAsia" w:ascii="楷体_GB2312" w:hAnsi="宋体" w:eastAsia="楷体_GB2312" w:cs="楷体_GB2312"/>
          <w:b/>
          <w:color w:val="000000"/>
          <w:kern w:val="0"/>
          <w:sz w:val="32"/>
          <w:szCs w:val="32"/>
        </w:rPr>
        <w:t xml:space="preserve">     </w:t>
      </w:r>
    </w:p>
    <w:p>
      <w:pPr>
        <w:widowControl/>
        <w:ind w:firstLine="640" w:firstLineChars="200"/>
        <w:jc w:val="left"/>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年一般公共预算项目支出全面开展绩效自评，其中，一级项目</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个，二级项目</w:t>
      </w:r>
      <w:r>
        <w:rPr>
          <w:rFonts w:hint="eastAsia" w:ascii="仿宋_GB2312" w:hAnsi="仿宋_GB2312" w:eastAsia="仿宋_GB2312" w:cs="仿宋_GB2312"/>
          <w:sz w:val="32"/>
          <w:szCs w:val="32"/>
        </w:rPr>
        <w:t>0</w:t>
      </w:r>
      <w:r>
        <w:rPr>
          <w:rFonts w:ascii="仿宋_GB2312" w:hAnsi="仿宋_GB2312" w:eastAsia="仿宋_GB2312" w:cs="仿宋_GB2312"/>
          <w:sz w:val="32"/>
          <w:szCs w:val="32"/>
        </w:rPr>
        <w:t>个，共涉及资金</w:t>
      </w:r>
      <w:r>
        <w:rPr>
          <w:rFonts w:hint="eastAsia" w:ascii="仿宋_GB2312" w:hAnsi="仿宋_GB2312" w:eastAsia="仿宋_GB2312" w:cs="仿宋_GB2312"/>
          <w:sz w:val="32"/>
          <w:szCs w:val="32"/>
        </w:rPr>
        <w:t>40</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w:t>
      </w:r>
      <w:r>
        <w:rPr>
          <w:rFonts w:ascii="仿宋_GB2312" w:hAnsi="仿宋_GB2312" w:eastAsia="仿宋_GB2312" w:cs="仿宋_GB2312"/>
          <w:color w:val="000000"/>
          <w:kern w:val="0"/>
          <w:sz w:val="31"/>
          <w:szCs w:val="31"/>
        </w:rPr>
        <w:t>组织对 2019年</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个政府性基金预算项目支出开展绩效自评，共涉及资金</w:t>
      </w:r>
      <w:r>
        <w:rPr>
          <w:rFonts w:hint="eastAsia" w:ascii="仿宋_GB2312" w:hAnsi="仿宋_GB2312" w:eastAsia="仿宋_GB2312" w:cs="仿宋_GB2312"/>
          <w:color w:val="000000"/>
          <w:kern w:val="0"/>
          <w:sz w:val="31"/>
          <w:szCs w:val="31"/>
        </w:rPr>
        <w:t>0</w:t>
      </w:r>
      <w:r>
        <w:rPr>
          <w:rFonts w:ascii="仿宋_GB2312" w:hAnsi="仿宋_GB2312" w:eastAsia="仿宋_GB2312" w:cs="仿宋_GB2312"/>
          <w:color w:val="000000"/>
          <w:kern w:val="0"/>
          <w:sz w:val="31"/>
          <w:szCs w:val="31"/>
        </w:rPr>
        <w:t>万元，占政府性基金预算项目支出总额的</w:t>
      </w:r>
      <w:r>
        <w:rPr>
          <w:rFonts w:hint="eastAsia" w:ascii="仿宋_GB2312" w:hAnsi="仿宋_GB2312" w:eastAsia="仿宋_GB2312" w:cs="仿宋_GB2312"/>
          <w:color w:val="000000"/>
          <w:kern w:val="0"/>
          <w:sz w:val="31"/>
          <w:szCs w:val="31"/>
        </w:rPr>
        <w:t>100</w:t>
      </w:r>
      <w:r>
        <w:rPr>
          <w:rFonts w:ascii="仿宋_GB2312" w:hAnsi="仿宋_GB2312" w:eastAsia="仿宋_GB2312" w:cs="仿宋_GB2312"/>
          <w:color w:val="000000"/>
          <w:kern w:val="0"/>
          <w:sz w:val="31"/>
          <w:szCs w:val="31"/>
        </w:rPr>
        <w:t>%</w:t>
      </w:r>
      <w:r>
        <w:rPr>
          <w:rFonts w:hint="eastAsia" w:ascii="仿宋_GB2312" w:hAnsi="仿宋_GB2312" w:eastAsia="仿宋_GB2312" w:cs="仿宋_GB2312"/>
          <w:color w:val="000000"/>
          <w:kern w:val="0"/>
          <w:sz w:val="31"/>
          <w:szCs w:val="31"/>
        </w:rPr>
        <w:t>。</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pPr>
        <w:widowControl/>
        <w:ind w:firstLine="620" w:firstLineChars="200"/>
        <w:jc w:val="left"/>
      </w:pPr>
      <w:r>
        <w:rPr>
          <w:rFonts w:hint="eastAsia" w:ascii="仿宋_GB2312" w:hAnsi="仿宋_GB2312" w:eastAsia="仿宋_GB2312" w:cs="仿宋_GB2312"/>
          <w:color w:val="000000"/>
          <w:kern w:val="0"/>
          <w:sz w:val="31"/>
          <w:szCs w:val="31"/>
        </w:rPr>
        <w:t>科技三项费（含科技事业费）</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rPr>
        <w:t>98</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rPr>
        <w:t>40</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rPr>
        <w:t>38.31</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rPr>
        <w:t>95.78</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rPr>
        <w:t>企业的科技水平得到提升，工作人员业务能力不断加强，经济效益有明显改善。</w:t>
      </w:r>
      <w:r>
        <w:rPr>
          <w:rFonts w:ascii="仿宋_GB2312" w:hAnsi="仿宋_GB2312" w:eastAsia="仿宋_GB2312" w:cs="仿宋_GB2312"/>
          <w:color w:val="000000"/>
          <w:kern w:val="0"/>
          <w:sz w:val="31"/>
          <w:szCs w:val="31"/>
        </w:rPr>
        <w:t>发现的问题及原因：</w:t>
      </w:r>
      <w:r>
        <w:rPr>
          <w:rFonts w:hint="eastAsia" w:ascii="仿宋_GB2312" w:hAnsi="仿宋_GB2312" w:eastAsia="仿宋_GB2312" w:cs="仿宋_GB2312"/>
          <w:color w:val="000000"/>
          <w:kern w:val="0"/>
          <w:sz w:val="31"/>
          <w:szCs w:val="31"/>
        </w:rPr>
        <w:t>项目在落地初期农户积极性不高，原因是农户对新技术、新品种发展前景认识不足，担心农产品滞销</w:t>
      </w:r>
      <w:r>
        <w:rPr>
          <w:rFonts w:ascii="仿宋_GB2312" w:hAnsi="仿宋_GB2312" w:eastAsia="仿宋_GB2312" w:cs="仿宋_GB2312"/>
          <w:color w:val="000000"/>
          <w:kern w:val="0"/>
          <w:sz w:val="31"/>
          <w:szCs w:val="31"/>
        </w:rPr>
        <w:t>。下一步改进措施：</w:t>
      </w:r>
      <w:r>
        <w:rPr>
          <w:rFonts w:hint="eastAsia" w:ascii="仿宋_GB2312" w:hAnsi="仿宋_GB2312" w:eastAsia="仿宋_GB2312" w:cs="仿宋_GB2312"/>
          <w:color w:val="000000"/>
          <w:kern w:val="0"/>
          <w:sz w:val="31"/>
          <w:szCs w:val="31"/>
        </w:rPr>
        <w:t>进一步加大对新技术、新品种示范推广的宣传工作，实行订单式农业，解决农户的后顾之忧。</w:t>
      </w:r>
    </w:p>
    <w:p>
      <w:pPr>
        <w:widowControl/>
        <w:jc w:val="left"/>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 xml:space="preserve"> </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widowControl/>
        <w:jc w:val="left"/>
        <w:rPr>
          <w:rFonts w:ascii="楷体" w:hAnsi="楷体" w:eastAsia="楷体" w:cs="楷体"/>
          <w:sz w:val="32"/>
          <w:szCs w:val="32"/>
        </w:rPr>
        <w:sectPr>
          <w:footerReference r:id="rId3" w:type="default"/>
          <w:pgSz w:w="11906" w:h="16838"/>
          <w:pgMar w:top="1985" w:right="1588" w:bottom="2098" w:left="1474" w:header="851" w:footer="992" w:gutter="0"/>
          <w:cols w:space="0" w:num="1"/>
          <w:docGrid w:type="lines" w:linePitch="315" w:charSpace="0"/>
        </w:sectPr>
      </w:pPr>
      <w:bookmarkStart w:id="0" w:name="_MON_1663918827"/>
      <w:bookmarkEnd w:id="0"/>
      <w:r>
        <w:rPr>
          <w:rFonts w:hint="eastAsia" w:ascii="楷体" w:hAnsi="楷体" w:eastAsia="楷体" w:cs="楷体"/>
          <w:sz w:val="32"/>
          <w:szCs w:val="32"/>
        </w:rPr>
        <w:object>
          <v:shape id="_x0000_i1025" o:spt="75" type="#_x0000_t75" style="height:586pt;width:462.65pt;" o:ole="t" filled="f" o:preferrelative="t" stroked="f" coordsize="21600,21600">
            <v:path/>
            <v:fill on="f" focussize="0,0"/>
            <v:stroke on="f" joinstyle="miter"/>
            <v:imagedata r:id="rId18" o:title=""/>
            <o:lock v:ext="edit" aspectratio="t"/>
            <w10:wrap type="none"/>
            <w10:anchorlock/>
          </v:shape>
          <o:OLEObject Type="Embed" ProgID="Excel.Sheet.8" ShapeID="_x0000_i1025" DrawAspect="Content" ObjectID="_1468075725" r:id="rId17">
            <o:LockedField>false</o:LockedField>
          </o:OLEObject>
        </w:object>
      </w:r>
      <w:r>
        <w:rPr>
          <w:rFonts w:hint="eastAsia" w:ascii="楷体" w:hAnsi="楷体" w:eastAsia="楷体" w:cs="楷体"/>
          <w:sz w:val="32"/>
          <w:szCs w:val="32"/>
        </w:rPr>
        <w:t xml:space="preserve"> </w:t>
      </w:r>
    </w:p>
    <w:p>
      <w:pPr>
        <w:widowControl/>
        <w:jc w:val="left"/>
        <w:rPr>
          <w:rFonts w:ascii="楷体" w:hAnsi="楷体" w:eastAsia="楷体" w:cs="楷体"/>
          <w:sz w:val="32"/>
          <w:szCs w:val="32"/>
        </w:rPr>
      </w:pPr>
      <w:bookmarkStart w:id="1" w:name="_MON_1663997747"/>
      <w:bookmarkEnd w:id="1"/>
      <w:r>
        <w:rPr>
          <w:rFonts w:hint="eastAsia" w:ascii="楷体" w:hAnsi="楷体" w:eastAsia="楷体" w:cs="楷体"/>
          <w:sz w:val="32"/>
          <w:szCs w:val="32"/>
        </w:rPr>
        <w:object>
          <v:shape id="_x0000_i1026" o:spt="75" type="#_x0000_t75" style="height:1309.35pt;width:632pt;" o:ole="t" filled="f" o:preferrelative="t" stroked="f" coordsize="21600,21600">
            <v:path/>
            <v:fill on="f" focussize="0,0"/>
            <v:stroke on="f" joinstyle="miter"/>
            <v:imagedata r:id="rId20" o:title=""/>
            <o:lock v:ext="edit" aspectratio="t"/>
            <w10:wrap type="none"/>
            <w10:anchorlock/>
          </v:shape>
          <o:OLEObject Type="Embed" ProgID="Excel.Sheet.8" ShapeID="_x0000_i1026" DrawAspect="Content" ObjectID="_1468075726" r:id="rId19">
            <o:LockedField>false</o:LockedField>
          </o:OLEObject>
        </w:object>
      </w:r>
    </w:p>
    <w:p>
      <w:pPr>
        <w:rPr>
          <w:rFonts w:ascii="楷体" w:hAnsi="楷体" w:eastAsia="楷体" w:cs="楷体"/>
          <w:sz w:val="32"/>
          <w:szCs w:val="32"/>
        </w:rPr>
      </w:pPr>
      <w:bookmarkStart w:id="2" w:name="_MON_1664003713"/>
      <w:bookmarkEnd w:id="2"/>
      <w:r>
        <w:rPr>
          <w:rFonts w:hint="eastAsia" w:ascii="楷体" w:hAnsi="楷体" w:eastAsia="楷体" w:cs="楷体"/>
          <w:sz w:val="32"/>
          <w:szCs w:val="32"/>
        </w:rPr>
        <w:object>
          <v:shape id="_x0000_i1027" o:spt="75" type="#_x0000_t75" style="height:414.65pt;width:636pt;" o:ole="t" filled="f" o:preferrelative="t" stroked="f" coordsize="21600,21600">
            <v:path/>
            <v:fill on="f" focussize="0,0"/>
            <v:stroke on="f" joinstyle="miter"/>
            <v:imagedata r:id="rId22" o:title=""/>
            <o:lock v:ext="edit" aspectratio="t"/>
            <w10:wrap type="none"/>
            <w10:anchorlock/>
          </v:shape>
          <o:OLEObject Type="Embed" ProgID="Excel.Sheet.8" ShapeID="_x0000_i1027" DrawAspect="Content" ObjectID="_1468075727" r:id="rId21">
            <o:LockedField>false</o:LockedField>
          </o:OLEObject>
        </w:object>
      </w:r>
    </w:p>
    <w:p>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bookmarkStart w:id="3" w:name="_MON_1664003636"/>
      <w:bookmarkEnd w:id="3"/>
      <w:r>
        <w:rPr>
          <w:rFonts w:hint="eastAsia" w:ascii="楷体" w:hAnsi="楷体" w:eastAsia="楷体" w:cs="楷体"/>
          <w:sz w:val="32"/>
          <w:szCs w:val="32"/>
        </w:rPr>
        <w:object>
          <v:shape id="_x0000_i1028" o:spt="75" type="#_x0000_t75" style="height:371.35pt;width:648pt;" o:ole="t" filled="f" o:preferrelative="t" stroked="f" coordsize="21600,21600">
            <v:path/>
            <v:fill on="f" focussize="0,0"/>
            <v:stroke on="f" joinstyle="miter"/>
            <v:imagedata r:id="rId24" o:title=""/>
            <o:lock v:ext="edit" aspectratio="t"/>
            <w10:wrap type="none"/>
            <w10:anchorlock/>
          </v:shape>
          <o:OLEObject Type="Embed" ProgID="Excel.Sheet.8" ShapeID="_x0000_i1028" DrawAspect="Content" ObjectID="_1468075728" r:id="rId23">
            <o:LockedField>false</o:LockedField>
          </o:OLEObject>
        </w:object>
      </w:r>
    </w:p>
    <w:p>
      <w:pPr>
        <w:ind w:firstLine="640" w:firstLineChars="200"/>
        <w:rPr>
          <w:rFonts w:ascii="黑体" w:hAnsi="黑体" w:eastAsia="黑体"/>
          <w:sz w:val="32"/>
          <w:szCs w:val="32"/>
        </w:rPr>
      </w:pPr>
      <w:r>
        <w:rPr>
          <w:rFonts w:hint="eastAsia" w:ascii="黑体" w:hAnsi="黑体" w:eastAsia="黑体"/>
          <w:color w:val="000000"/>
          <w:kern w:val="0"/>
          <w:sz w:val="32"/>
          <w:szCs w:val="32"/>
        </w:rPr>
        <w:t>十一、其他重要事项说明</w:t>
      </w:r>
    </w:p>
    <w:p>
      <w:pPr>
        <w:widowControl/>
        <w:ind w:firstLine="643" w:firstLineChars="200"/>
        <w:jc w:val="left"/>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pPr>
        <w:widowControl/>
        <w:ind w:firstLine="620" w:firstLineChars="200"/>
        <w:jc w:val="left"/>
        <w:rPr>
          <w:rFonts w:ascii="仿宋_GB2312" w:hAnsi="宋体" w:eastAsia="仿宋_GB2312" w:cs="仿宋_GB2312"/>
          <w:color w:val="000000"/>
          <w:kern w:val="0"/>
          <w:sz w:val="32"/>
          <w:szCs w:val="32"/>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rPr>
        <w:t>3.7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rPr>
        <w:t>3.61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rPr>
        <w:t>97.57</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减少0.09万元，决算数与预算数基本持平。</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本部门201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年无政府采购支出。</w:t>
      </w:r>
    </w:p>
    <w:p>
      <w:pPr>
        <w:widowControl/>
        <w:ind w:firstLine="643" w:firstLineChars="200"/>
        <w:jc w:val="left"/>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截至2019年末，本部门机关及所属单位共有车辆0辆；单价50万元以上的通用设备0台（套）；单价100万元以上的专用设备0台（套）。201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年当年购置车辆0辆；购置单价50万元以上的通用设备0台（套）；购置单价100万元以上的专用设备0台（套）。</w:t>
      </w:r>
    </w:p>
    <w:p>
      <w:pPr>
        <w:widowControl/>
        <w:jc w:val="left"/>
        <w:rPr>
          <w:rFonts w:ascii="黑体" w:hAnsi="宋体" w:eastAsia="黑体"/>
          <w:color w:val="000000"/>
          <w:kern w:val="0"/>
          <w:sz w:val="32"/>
          <w:szCs w:val="32"/>
        </w:rPr>
      </w:pPr>
    </w:p>
    <w:p>
      <w:pPr>
        <w:widowControl/>
        <w:jc w:val="left"/>
        <w:rPr>
          <w:rFonts w:ascii="黑体" w:hAnsi="宋体" w:eastAsia="黑体"/>
          <w:color w:val="000000"/>
          <w:kern w:val="0"/>
          <w:sz w:val="32"/>
          <w:szCs w:val="32"/>
        </w:rPr>
      </w:pPr>
    </w:p>
    <w:p>
      <w:pPr>
        <w:jc w:val="center"/>
        <w:rPr>
          <w:sz w:val="44"/>
          <w:szCs w:val="44"/>
        </w:rPr>
      </w:pPr>
      <w:r>
        <w:rPr>
          <w:rFonts w:hint="eastAsia" w:ascii="黑体" w:hAnsi="宋体" w:eastAsia="黑体"/>
          <w:color w:val="000000"/>
          <w:kern w:val="0"/>
          <w:sz w:val="44"/>
          <w:szCs w:val="44"/>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p>
      <w:pPr>
        <w:rPr>
          <w:rFonts w:ascii="黑体" w:hAnsi="宋体" w:eastAsia="黑体"/>
          <w:color w:val="000000"/>
          <w:kern w:val="0"/>
          <w:sz w:val="44"/>
          <w:szCs w:val="44"/>
        </w:rPr>
      </w:pPr>
    </w:p>
    <w:p>
      <w:pPr>
        <w:jc w:val="center"/>
        <w:rPr>
          <w:rFonts w:ascii="黑体" w:hAnsi="宋体" w:eastAsia="黑体"/>
          <w:color w:val="000000"/>
          <w:kern w:val="0"/>
          <w:sz w:val="44"/>
          <w:szCs w:val="44"/>
        </w:rPr>
      </w:pPr>
    </w:p>
    <w:p>
      <w:pPr>
        <w:jc w:val="center"/>
        <w:rPr>
          <w:rFonts w:ascii="黑体" w:hAnsi="宋体" w:eastAsia="黑体"/>
          <w:color w:val="000000"/>
          <w:kern w:val="0"/>
          <w:sz w:val="44"/>
          <w:szCs w:val="44"/>
        </w:rPr>
      </w:pPr>
    </w:p>
    <w:p>
      <w:pPr>
        <w:rPr>
          <w:rFonts w:ascii="黑体" w:hAnsi="宋体" w:eastAsia="黑体"/>
          <w:color w:val="000000"/>
          <w:kern w:val="0"/>
          <w:sz w:val="44"/>
          <w:szCs w:val="44"/>
        </w:rPr>
      </w:pP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HorizontalSpacing w:val="105"/>
  <w:drawingGridVerticalSpacing w:val="315"/>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1AA6038"/>
    <w:rsid w:val="00013713"/>
    <w:rsid w:val="00044729"/>
    <w:rsid w:val="00050E89"/>
    <w:rsid w:val="00074C30"/>
    <w:rsid w:val="000870B5"/>
    <w:rsid w:val="000959CF"/>
    <w:rsid w:val="000A1C21"/>
    <w:rsid w:val="000C0642"/>
    <w:rsid w:val="000E684A"/>
    <w:rsid w:val="000E79FB"/>
    <w:rsid w:val="000F75EA"/>
    <w:rsid w:val="00133926"/>
    <w:rsid w:val="00146787"/>
    <w:rsid w:val="00164001"/>
    <w:rsid w:val="001A6944"/>
    <w:rsid w:val="001D7568"/>
    <w:rsid w:val="001F136A"/>
    <w:rsid w:val="00217E4A"/>
    <w:rsid w:val="002309B3"/>
    <w:rsid w:val="002424C8"/>
    <w:rsid w:val="002874C6"/>
    <w:rsid w:val="002A2140"/>
    <w:rsid w:val="002A7893"/>
    <w:rsid w:val="002B146F"/>
    <w:rsid w:val="002B1B88"/>
    <w:rsid w:val="00310D07"/>
    <w:rsid w:val="003364E9"/>
    <w:rsid w:val="00351B6B"/>
    <w:rsid w:val="00351F54"/>
    <w:rsid w:val="0036468F"/>
    <w:rsid w:val="00373955"/>
    <w:rsid w:val="003770CB"/>
    <w:rsid w:val="00381A7D"/>
    <w:rsid w:val="00397E48"/>
    <w:rsid w:val="003D68E2"/>
    <w:rsid w:val="003E6312"/>
    <w:rsid w:val="003E6899"/>
    <w:rsid w:val="003F6B9C"/>
    <w:rsid w:val="0041253F"/>
    <w:rsid w:val="00420AA4"/>
    <w:rsid w:val="00451A5D"/>
    <w:rsid w:val="00452E2E"/>
    <w:rsid w:val="00472F5B"/>
    <w:rsid w:val="004A3585"/>
    <w:rsid w:val="004A782A"/>
    <w:rsid w:val="004B6D6E"/>
    <w:rsid w:val="004D1FD7"/>
    <w:rsid w:val="004E5EB6"/>
    <w:rsid w:val="004F6EAC"/>
    <w:rsid w:val="00505E42"/>
    <w:rsid w:val="00534821"/>
    <w:rsid w:val="005A23AB"/>
    <w:rsid w:val="005B0837"/>
    <w:rsid w:val="005B416C"/>
    <w:rsid w:val="005D7CD0"/>
    <w:rsid w:val="00613115"/>
    <w:rsid w:val="00633D68"/>
    <w:rsid w:val="006B630B"/>
    <w:rsid w:val="006D021A"/>
    <w:rsid w:val="006E46FA"/>
    <w:rsid w:val="007047C5"/>
    <w:rsid w:val="0071201C"/>
    <w:rsid w:val="00734F70"/>
    <w:rsid w:val="00773F80"/>
    <w:rsid w:val="00781B01"/>
    <w:rsid w:val="007C26B1"/>
    <w:rsid w:val="007E0A4B"/>
    <w:rsid w:val="007F39D9"/>
    <w:rsid w:val="00813F4A"/>
    <w:rsid w:val="00854551"/>
    <w:rsid w:val="008819F0"/>
    <w:rsid w:val="00883FBE"/>
    <w:rsid w:val="00890080"/>
    <w:rsid w:val="00894539"/>
    <w:rsid w:val="00895E93"/>
    <w:rsid w:val="008D2389"/>
    <w:rsid w:val="008F7932"/>
    <w:rsid w:val="00901AEA"/>
    <w:rsid w:val="00914538"/>
    <w:rsid w:val="0091727C"/>
    <w:rsid w:val="00954077"/>
    <w:rsid w:val="0096459A"/>
    <w:rsid w:val="00975201"/>
    <w:rsid w:val="0097712B"/>
    <w:rsid w:val="0097736F"/>
    <w:rsid w:val="009A0AFE"/>
    <w:rsid w:val="009C4D4D"/>
    <w:rsid w:val="00A0623B"/>
    <w:rsid w:val="00A17C1B"/>
    <w:rsid w:val="00A23D2F"/>
    <w:rsid w:val="00A43CCE"/>
    <w:rsid w:val="00A67C3F"/>
    <w:rsid w:val="00A76AA2"/>
    <w:rsid w:val="00A821B0"/>
    <w:rsid w:val="00A87F1D"/>
    <w:rsid w:val="00AB187A"/>
    <w:rsid w:val="00AC053A"/>
    <w:rsid w:val="00AD037B"/>
    <w:rsid w:val="00AE475D"/>
    <w:rsid w:val="00AF50CC"/>
    <w:rsid w:val="00B13471"/>
    <w:rsid w:val="00B202CF"/>
    <w:rsid w:val="00B3616F"/>
    <w:rsid w:val="00B55EF8"/>
    <w:rsid w:val="00B80654"/>
    <w:rsid w:val="00B90934"/>
    <w:rsid w:val="00BA4D77"/>
    <w:rsid w:val="00BA6ABB"/>
    <w:rsid w:val="00BB16A2"/>
    <w:rsid w:val="00BB3555"/>
    <w:rsid w:val="00BF630C"/>
    <w:rsid w:val="00C0083B"/>
    <w:rsid w:val="00C20435"/>
    <w:rsid w:val="00C3528A"/>
    <w:rsid w:val="00C52E1A"/>
    <w:rsid w:val="00C61AE1"/>
    <w:rsid w:val="00C66178"/>
    <w:rsid w:val="00C97CA2"/>
    <w:rsid w:val="00CB00A5"/>
    <w:rsid w:val="00CB0314"/>
    <w:rsid w:val="00CC5FF2"/>
    <w:rsid w:val="00CD3990"/>
    <w:rsid w:val="00CD7234"/>
    <w:rsid w:val="00CE26E6"/>
    <w:rsid w:val="00CE35F7"/>
    <w:rsid w:val="00D261C3"/>
    <w:rsid w:val="00D433A6"/>
    <w:rsid w:val="00D630FA"/>
    <w:rsid w:val="00D90E01"/>
    <w:rsid w:val="00D93B83"/>
    <w:rsid w:val="00DB3770"/>
    <w:rsid w:val="00DC57B2"/>
    <w:rsid w:val="00E074BC"/>
    <w:rsid w:val="00E21707"/>
    <w:rsid w:val="00E22C00"/>
    <w:rsid w:val="00E36BFA"/>
    <w:rsid w:val="00E46B44"/>
    <w:rsid w:val="00E547E5"/>
    <w:rsid w:val="00E8111E"/>
    <w:rsid w:val="00E8495D"/>
    <w:rsid w:val="00E91F3A"/>
    <w:rsid w:val="00E927D1"/>
    <w:rsid w:val="00EA2A7D"/>
    <w:rsid w:val="00EB2AB9"/>
    <w:rsid w:val="00F071AF"/>
    <w:rsid w:val="00F17D49"/>
    <w:rsid w:val="00F46329"/>
    <w:rsid w:val="00F6403E"/>
    <w:rsid w:val="00F83413"/>
    <w:rsid w:val="00F95022"/>
    <w:rsid w:val="00FA744A"/>
    <w:rsid w:val="00FB6D46"/>
    <w:rsid w:val="00FE0D73"/>
    <w:rsid w:val="00FE1AA0"/>
    <w:rsid w:val="00FE300D"/>
    <w:rsid w:val="013B79AC"/>
    <w:rsid w:val="125E2600"/>
    <w:rsid w:val="132E46A0"/>
    <w:rsid w:val="14411117"/>
    <w:rsid w:val="1586116E"/>
    <w:rsid w:val="18BB4AD7"/>
    <w:rsid w:val="1B4A3FDA"/>
    <w:rsid w:val="1B524C98"/>
    <w:rsid w:val="1C5E2F73"/>
    <w:rsid w:val="1D6E0C0D"/>
    <w:rsid w:val="221C15BB"/>
    <w:rsid w:val="29785A6B"/>
    <w:rsid w:val="2D1F3974"/>
    <w:rsid w:val="2DB52EF2"/>
    <w:rsid w:val="31AA6038"/>
    <w:rsid w:val="33887EE3"/>
    <w:rsid w:val="34677C61"/>
    <w:rsid w:val="3B121AD1"/>
    <w:rsid w:val="3CFD0D2E"/>
    <w:rsid w:val="41603979"/>
    <w:rsid w:val="41CF436B"/>
    <w:rsid w:val="4619368A"/>
    <w:rsid w:val="471F2499"/>
    <w:rsid w:val="4D6E0FDF"/>
    <w:rsid w:val="4EE4307A"/>
    <w:rsid w:val="5153143F"/>
    <w:rsid w:val="54F12DEE"/>
    <w:rsid w:val="56EB507C"/>
    <w:rsid w:val="5B8D564A"/>
    <w:rsid w:val="65074FBA"/>
    <w:rsid w:val="69512523"/>
    <w:rsid w:val="71086DB5"/>
    <w:rsid w:val="75C31473"/>
    <w:rsid w:val="7C3E5E46"/>
    <w:rsid w:val="7C5B5A63"/>
    <w:rsid w:val="7EE759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批注文字 Char"/>
    <w:basedOn w:val="7"/>
    <w:link w:val="3"/>
    <w:qFormat/>
    <w:uiPriority w:val="0"/>
    <w:rPr>
      <w:rFonts w:ascii="Calibri" w:hAnsi="Calibri" w:cs="黑体"/>
      <w:kern w:val="2"/>
      <w:sz w:val="21"/>
      <w:szCs w:val="24"/>
    </w:rPr>
  </w:style>
  <w:style w:type="character" w:customStyle="1" w:styleId="12">
    <w:name w:val="批注主题 Char"/>
    <w:basedOn w:val="11"/>
    <w:link w:val="2"/>
    <w:qFormat/>
    <w:uiPriority w:val="0"/>
    <w:rPr>
      <w:rFonts w:ascii="Calibri" w:hAnsi="Calibri" w:cs="黑体"/>
      <w:b/>
      <w:bCs/>
      <w:kern w:val="2"/>
      <w:sz w:val="21"/>
      <w:szCs w:val="24"/>
    </w:rPr>
  </w:style>
  <w:style w:type="character" w:customStyle="1" w:styleId="13">
    <w:name w:val="批注框文本 Char"/>
    <w:basedOn w:val="7"/>
    <w:link w:val="4"/>
    <w:qFormat/>
    <w:uiPriority w:val="0"/>
    <w:rPr>
      <w:rFonts w:ascii="Calibri" w:hAnsi="Calibri" w:cs="黑体"/>
      <w:kern w:val="2"/>
      <w:sz w:val="18"/>
      <w:szCs w:val="18"/>
    </w:rPr>
  </w:style>
  <w:style w:type="paragraph" w:customStyle="1" w:styleId="14">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1.xml"/><Relationship Id="rId24" Type="http://schemas.openxmlformats.org/officeDocument/2006/relationships/image" Target="media/image4.emf"/><Relationship Id="rId23" Type="http://schemas.openxmlformats.org/officeDocument/2006/relationships/oleObject" Target="embeddings/oleObject4.bin"/><Relationship Id="rId22" Type="http://schemas.openxmlformats.org/officeDocument/2006/relationships/image" Target="media/image3.emf"/><Relationship Id="rId21" Type="http://schemas.openxmlformats.org/officeDocument/2006/relationships/oleObject" Target="embeddings/oleObject3.bin"/><Relationship Id="rId20" Type="http://schemas.openxmlformats.org/officeDocument/2006/relationships/image" Target="media/image2.emf"/><Relationship Id="rId2" Type="http://schemas.openxmlformats.org/officeDocument/2006/relationships/settings" Target="settings.xml"/><Relationship Id="rId19" Type="http://schemas.openxmlformats.org/officeDocument/2006/relationships/oleObject" Target="embeddings/oleObject2.bin"/><Relationship Id="rId18" Type="http://schemas.openxmlformats.org/officeDocument/2006/relationships/image" Target="media/image1.emf"/><Relationship Id="rId17" Type="http://schemas.openxmlformats.org/officeDocument/2006/relationships/oleObject" Target="embeddings/oleObject1.bin"/><Relationship Id="rId16" Type="http://schemas.openxmlformats.org/officeDocument/2006/relationships/chart" Target="charts/chart12.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Workbook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编制人数</c:v>
                </c:pt>
              </c:strCache>
            </c:strRef>
          </c:tx>
          <c:invertIfNegative val="0"/>
          <c:dLbls>
            <c:delete val="1"/>
          </c:dLbls>
          <c:cat>
            <c:strRef>
              <c:f>Sheet1!$A$2:$A$5</c:f>
              <c:strCache>
                <c:ptCount val="3"/>
                <c:pt idx="0">
                  <c:v>行政人员</c:v>
                </c:pt>
                <c:pt idx="1">
                  <c:v>事业人员</c:v>
                </c:pt>
                <c:pt idx="2">
                  <c:v>离退休人员</c:v>
                </c:pt>
              </c:strCache>
            </c:strRef>
          </c:cat>
          <c:val>
            <c:numRef>
              <c:f>Sheet1!$B$2:$B$5</c:f>
              <c:numCache>
                <c:formatCode>General</c:formatCode>
                <c:ptCount val="4"/>
                <c:pt idx="0">
                  <c:v>3</c:v>
                </c:pt>
                <c:pt idx="1">
                  <c:v>3</c:v>
                </c:pt>
              </c:numCache>
            </c:numRef>
          </c:val>
        </c:ser>
        <c:ser>
          <c:idx val="1"/>
          <c:order val="1"/>
          <c:tx>
            <c:strRef>
              <c:f>Sheet1!$C$1</c:f>
              <c:strCache>
                <c:ptCount val="1"/>
                <c:pt idx="0">
                  <c:v>实有人数</c:v>
                </c:pt>
              </c:strCache>
            </c:strRef>
          </c:tx>
          <c:invertIfNegative val="0"/>
          <c:dLbls>
            <c:delete val="1"/>
          </c:dLbls>
          <c:cat>
            <c:strRef>
              <c:f>Sheet1!$A$2:$A$5</c:f>
              <c:strCache>
                <c:ptCount val="3"/>
                <c:pt idx="0">
                  <c:v>行政人员</c:v>
                </c:pt>
                <c:pt idx="1">
                  <c:v>事业人员</c:v>
                </c:pt>
                <c:pt idx="2">
                  <c:v>离退休人员</c:v>
                </c:pt>
              </c:strCache>
            </c:strRef>
          </c:cat>
          <c:val>
            <c:numRef>
              <c:f>Sheet1!$C$2:$C$5</c:f>
              <c:numCache>
                <c:formatCode>General</c:formatCode>
                <c:ptCount val="4"/>
                <c:pt idx="0">
                  <c:v>3</c:v>
                </c:pt>
                <c:pt idx="1">
                  <c:v>3</c:v>
                </c:pt>
                <c:pt idx="2">
                  <c:v>4</c:v>
                </c:pt>
              </c:numCache>
            </c:numRef>
          </c:val>
        </c:ser>
        <c:dLbls>
          <c:showLegendKey val="0"/>
          <c:showVal val="0"/>
          <c:showCatName val="0"/>
          <c:showSerName val="0"/>
          <c:showPercent val="0"/>
          <c:showBubbleSize val="0"/>
        </c:dLbls>
        <c:gapWidth val="150"/>
        <c:axId val="57577856"/>
        <c:axId val="57579392"/>
      </c:barChart>
      <c:catAx>
        <c:axId val="575778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579392"/>
        <c:crosses val="autoZero"/>
        <c:auto val="1"/>
        <c:lblAlgn val="ctr"/>
        <c:lblOffset val="100"/>
        <c:noMultiLvlLbl val="0"/>
      </c:catAx>
      <c:valAx>
        <c:axId val="575793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577856"/>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公务用车购置费用支出情况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r>
              <a:rPr lang="zh-CN" altLang="en-US" sz="1300" baseline="0"/>
              <a:t>公务用车运行维护费用支出情况</a:t>
            </a:r>
            <a:endParaRPr lang="zh-CN" altLang="en-US" sz="1300" baseline="0"/>
          </a:p>
        </c:rich>
      </c:tx>
      <c:layout/>
      <c:overlay val="0"/>
    </c:title>
    <c:autoTitleDeleted val="0"/>
    <c:plotArea>
      <c:layout/>
      <c:pieChart>
        <c:varyColors val="1"/>
        <c:ser>
          <c:idx val="0"/>
          <c:order val="0"/>
          <c:tx>
            <c:strRef>
              <c:f>Sheet1!$B$1</c:f>
              <c:strCache>
                <c:ptCount val="1"/>
                <c:pt idx="0">
                  <c:v>公务用车运行维护费用支出情况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1.03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3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公务接待费支出情况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0.43</c:v>
                </c:pt>
                <c:pt idx="1">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2018年收入</c:v>
                </c:pt>
                <c:pt idx="1">
                  <c:v>2019年收入</c:v>
                </c:pt>
              </c:strCache>
            </c:strRef>
          </c:cat>
          <c:val>
            <c:numRef>
              <c:f>Sheet1!$B$2:$B$3</c:f>
              <c:numCache>
                <c:formatCode>General</c:formatCode>
                <c:ptCount val="2"/>
                <c:pt idx="0">
                  <c:v>231.41</c:v>
                </c:pt>
                <c:pt idx="1">
                  <c:v>207.04</c:v>
                </c:pt>
              </c:numCache>
            </c:numRef>
          </c:val>
        </c:ser>
        <c:ser>
          <c:idx val="1"/>
          <c:order val="1"/>
          <c:tx>
            <c:strRef>
              <c:f>Sheet1!$C$1</c:f>
              <c:strCache>
                <c:ptCount val="1"/>
                <c:pt idx="0">
                  <c:v>列1</c:v>
                </c:pt>
              </c:strCache>
            </c:strRef>
          </c:tx>
          <c:invertIfNegative val="0"/>
          <c:dLbls>
            <c:delete val="1"/>
          </c:dLbls>
          <c:cat>
            <c:strRef>
              <c:f>Sheet1!$A$2:$A$3</c:f>
              <c:strCache>
                <c:ptCount val="2"/>
                <c:pt idx="0">
                  <c:v>2018年收入</c:v>
                </c:pt>
                <c:pt idx="1">
                  <c:v>2019年收入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2018年收入</c:v>
                </c:pt>
                <c:pt idx="1">
                  <c:v>2019年收入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57809536"/>
        <c:axId val="57835904"/>
      </c:barChart>
      <c:catAx>
        <c:axId val="5780953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835904"/>
        <c:crosses val="autoZero"/>
        <c:auto val="1"/>
        <c:lblAlgn val="ctr"/>
        <c:lblOffset val="100"/>
        <c:noMultiLvlLbl val="0"/>
      </c:catAx>
      <c:valAx>
        <c:axId val="5783590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8095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2018年支出</c:v>
                </c:pt>
                <c:pt idx="1">
                  <c:v>2019年支出</c:v>
                </c:pt>
              </c:strCache>
            </c:strRef>
          </c:cat>
          <c:val>
            <c:numRef>
              <c:f>Sheet1!$B$2:$B$3</c:f>
              <c:numCache>
                <c:formatCode>General</c:formatCode>
                <c:ptCount val="2"/>
                <c:pt idx="0">
                  <c:v>244.78</c:v>
                </c:pt>
                <c:pt idx="1">
                  <c:v>210.76</c:v>
                </c:pt>
              </c:numCache>
            </c:numRef>
          </c:val>
        </c:ser>
        <c:ser>
          <c:idx val="1"/>
          <c:order val="1"/>
          <c:tx>
            <c:strRef>
              <c:f>Sheet1!$C$1</c:f>
              <c:strCache>
                <c:ptCount val="1"/>
                <c:pt idx="0">
                  <c:v>列1</c:v>
                </c:pt>
              </c:strCache>
            </c:strRef>
          </c:tx>
          <c:invertIfNegative val="0"/>
          <c:dLbls>
            <c:delete val="1"/>
          </c:dLbls>
          <c:cat>
            <c:strRef>
              <c:f>Sheet1!$A$2:$A$3</c:f>
              <c:strCache>
                <c:ptCount val="2"/>
                <c:pt idx="0">
                  <c:v>2018年支出</c:v>
                </c:pt>
                <c:pt idx="1">
                  <c:v>2019年支出</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2018年支出</c:v>
                </c:pt>
                <c:pt idx="1">
                  <c:v>2019年支出</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112050944"/>
        <c:axId val="112052480"/>
      </c:barChart>
      <c:catAx>
        <c:axId val="112050944"/>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52480"/>
        <c:crosses val="autoZero"/>
        <c:auto val="1"/>
        <c:lblAlgn val="ctr"/>
        <c:lblOffset val="100"/>
        <c:noMultiLvlLbl val="0"/>
      </c:catAx>
      <c:valAx>
        <c:axId val="112052480"/>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1205094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2019年收入合计</c:v>
                </c:pt>
              </c:strCache>
            </c:strRef>
          </c:tx>
          <c:explosion val="0"/>
          <c:dPt>
            <c:idx val="0"/>
            <c:bubble3D val="0"/>
          </c:dPt>
          <c:dPt>
            <c:idx val="1"/>
            <c:bubble3D val="0"/>
          </c:dPt>
          <c:dPt>
            <c:idx val="2"/>
            <c:bubble3D val="0"/>
          </c:dPt>
          <c:dPt>
            <c:idx val="3"/>
            <c:bubble3D val="0"/>
          </c:dPt>
          <c:dLbls>
            <c:delete val="1"/>
          </c:dLbls>
          <c:cat>
            <c:strRef>
              <c:f>Sheet1!$A$2:$A$5</c:f>
              <c:strCache>
                <c:ptCount val="4"/>
                <c:pt idx="0">
                  <c:v>财政拨款收入</c:v>
                </c:pt>
                <c:pt idx="1">
                  <c:v>事业收入</c:v>
                </c:pt>
                <c:pt idx="2">
                  <c:v>经营收入</c:v>
                </c:pt>
                <c:pt idx="3">
                  <c:v>其他收入</c:v>
                </c:pt>
              </c:strCache>
            </c:strRef>
          </c:cat>
          <c:val>
            <c:numRef>
              <c:f>Sheet1!$B$2:$B$5</c:f>
              <c:numCache>
                <c:formatCode>General</c:formatCode>
                <c:ptCount val="4"/>
                <c:pt idx="0">
                  <c:v>66.19</c:v>
                </c:pt>
                <c:pt idx="1">
                  <c:v>0</c:v>
                </c:pt>
                <c:pt idx="2">
                  <c:v>0</c:v>
                </c:pt>
                <c:pt idx="3">
                  <c:v>33.81</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2019年支出合计</c:v>
                </c:pt>
              </c:strCache>
            </c:strRef>
          </c:tx>
          <c:explosion val="0"/>
          <c:dPt>
            <c:idx val="0"/>
            <c:bubble3D val="0"/>
          </c:dPt>
          <c:dPt>
            <c:idx val="1"/>
            <c:bubble3D val="0"/>
          </c:dPt>
          <c:dPt>
            <c:idx val="2"/>
            <c:bubble3D val="0"/>
          </c:dPt>
          <c:dPt>
            <c:idx val="3"/>
            <c:bubble3D val="0"/>
          </c:dPt>
          <c:dLbls>
            <c:delete val="1"/>
          </c:dLbls>
          <c:cat>
            <c:strRef>
              <c:f>Sheet1!$A$2:$A$5</c:f>
              <c:strCache>
                <c:ptCount val="3"/>
                <c:pt idx="0">
                  <c:v>基本支出</c:v>
                </c:pt>
                <c:pt idx="1">
                  <c:v>项目支出</c:v>
                </c:pt>
                <c:pt idx="2">
                  <c:v>经营支出</c:v>
                </c:pt>
              </c:strCache>
            </c:strRef>
          </c:cat>
          <c:val>
            <c:numRef>
              <c:f>Sheet1!$B$2:$B$5</c:f>
              <c:numCache>
                <c:formatCode>General</c:formatCode>
                <c:ptCount val="4"/>
                <c:pt idx="0">
                  <c:v>46.48</c:v>
                </c:pt>
                <c:pt idx="1">
                  <c:v>53.52</c:v>
                </c:pt>
                <c:pt idx="2">
                  <c:v>0</c:v>
                </c:pt>
              </c:numCache>
            </c:numRef>
          </c:val>
        </c:ser>
        <c:dLbls>
          <c:showLegendKey val="0"/>
          <c:showVal val="0"/>
          <c:showCatName val="0"/>
          <c:showSerName val="0"/>
          <c:showPercent val="0"/>
          <c:showBubbleSize val="0"/>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2018年财政拨款收入</c:v>
                </c:pt>
                <c:pt idx="1">
                  <c:v>2019年财政拨款收入</c:v>
                </c:pt>
              </c:strCache>
            </c:strRef>
          </c:cat>
          <c:val>
            <c:numRef>
              <c:f>Sheet1!$B$2:$B$3</c:f>
              <c:numCache>
                <c:formatCode>General</c:formatCode>
                <c:ptCount val="2"/>
                <c:pt idx="0">
                  <c:v>214.33</c:v>
                </c:pt>
                <c:pt idx="1">
                  <c:v>137.06</c:v>
                </c:pt>
              </c:numCache>
            </c:numRef>
          </c:val>
        </c:ser>
        <c:ser>
          <c:idx val="1"/>
          <c:order val="1"/>
          <c:tx>
            <c:strRef>
              <c:f>Sheet1!$C$1</c:f>
              <c:strCache>
                <c:ptCount val="1"/>
                <c:pt idx="0">
                  <c:v>列1</c:v>
                </c:pt>
              </c:strCache>
            </c:strRef>
          </c:tx>
          <c:invertIfNegative val="0"/>
          <c:dLbls>
            <c:delete val="1"/>
          </c:dLbls>
          <c:cat>
            <c:strRef>
              <c:f>Sheet1!$A$2:$A$3</c:f>
              <c:strCache>
                <c:ptCount val="2"/>
                <c:pt idx="0">
                  <c:v>2018年财政拨款收入</c:v>
                </c:pt>
                <c:pt idx="1">
                  <c:v>2019年财政拨款收入</c:v>
                </c:pt>
              </c:strCache>
            </c:strRef>
          </c:cat>
          <c:val>
            <c:numRef>
              <c:f>Sheet1!$C$2:$C$3</c:f>
              <c:numCache>
                <c:formatCode>General</c:formatCode>
                <c:ptCount val="2"/>
              </c:numCache>
            </c:numRef>
          </c:val>
        </c:ser>
        <c:ser>
          <c:idx val="2"/>
          <c:order val="2"/>
          <c:tx>
            <c:strRef>
              <c:f>Sheet1!$D$1</c:f>
              <c:strCache>
                <c:ptCount val="1"/>
                <c:pt idx="0">
                  <c:v>列2</c:v>
                </c:pt>
              </c:strCache>
            </c:strRef>
          </c:tx>
          <c:invertIfNegative val="0"/>
          <c:dLbls>
            <c:delete val="1"/>
          </c:dLbls>
          <c:cat>
            <c:strRef>
              <c:f>Sheet1!$A$2:$A$3</c:f>
              <c:strCache>
                <c:ptCount val="2"/>
                <c:pt idx="0">
                  <c:v>2018年财政拨款收入</c:v>
                </c:pt>
                <c:pt idx="1">
                  <c:v>2019年财政拨款收入</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57911936"/>
        <c:axId val="57913728"/>
      </c:barChart>
      <c:catAx>
        <c:axId val="57911936"/>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913728"/>
        <c:crosses val="autoZero"/>
        <c:auto val="1"/>
        <c:lblAlgn val="ctr"/>
        <c:lblOffset val="100"/>
        <c:noMultiLvlLbl val="0"/>
      </c:catAx>
      <c:valAx>
        <c:axId val="57913728"/>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911936"/>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9833917819097"/>
          <c:y val="0.0720523893593527"/>
          <c:w val="0.700700248603383"/>
          <c:h val="0.763853838349926"/>
        </c:manualLayout>
      </c:layout>
      <c:barChart>
        <c:barDir val="bar"/>
        <c:grouping val="stacked"/>
        <c:varyColors val="0"/>
        <c:ser>
          <c:idx val="0"/>
          <c:order val="0"/>
          <c:tx>
            <c:strRef>
              <c:f>Sheet1!$B$1</c:f>
              <c:strCache>
                <c:ptCount val="1"/>
                <c:pt idx="0">
                  <c:v>系列 1</c:v>
                </c:pt>
              </c:strCache>
            </c:strRef>
          </c:tx>
          <c:invertIfNegative val="0"/>
          <c:dLbls>
            <c:delete val="1"/>
          </c:dLbls>
          <c:cat>
            <c:strRef>
              <c:f>Sheet1!$A$2:$A$3</c:f>
              <c:strCache>
                <c:ptCount val="2"/>
                <c:pt idx="0">
                  <c:v>2018年财政拨款支出</c:v>
                </c:pt>
                <c:pt idx="1">
                  <c:v>2019年财政拨款支出</c:v>
                </c:pt>
              </c:strCache>
            </c:strRef>
          </c:cat>
          <c:val>
            <c:numRef>
              <c:f>Sheet1!$B$2:$B$3</c:f>
              <c:numCache>
                <c:formatCode>General</c:formatCode>
                <c:ptCount val="2"/>
                <c:pt idx="0">
                  <c:v>225.12</c:v>
                </c:pt>
                <c:pt idx="1">
                  <c:v>137.41</c:v>
                </c:pt>
              </c:numCache>
            </c:numRef>
          </c:val>
        </c:ser>
        <c:dLbls>
          <c:showLegendKey val="0"/>
          <c:showVal val="0"/>
          <c:showCatName val="0"/>
          <c:showSerName val="0"/>
          <c:showPercent val="0"/>
          <c:showBubbleSize val="0"/>
        </c:dLbls>
        <c:gapWidth val="150"/>
        <c:overlap val="100"/>
        <c:axId val="57920512"/>
        <c:axId val="57746176"/>
      </c:barChart>
      <c:catAx>
        <c:axId val="57920512"/>
        <c:scaling>
          <c:orientation val="minMax"/>
        </c:scaling>
        <c:delete val="0"/>
        <c:axPos val="l"/>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746176"/>
        <c:crosses val="autoZero"/>
        <c:auto val="1"/>
        <c:lblAlgn val="ctr"/>
        <c:lblOffset val="100"/>
        <c:noMultiLvlLbl val="0"/>
      </c:catAx>
      <c:valAx>
        <c:axId val="57746176"/>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7920512"/>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2018年财政拨款支出</c:v>
                </c:pt>
              </c:strCache>
            </c:strRef>
          </c:tx>
          <c:invertIfNegative val="0"/>
          <c:dLbls>
            <c:delete val="1"/>
          </c:dLbls>
          <c:cat>
            <c:numRef>
              <c:f>Sheet1!$A$2</c:f>
              <c:numCache>
                <c:formatCode>General</c:formatCode>
                <c:ptCount val="1"/>
              </c:numCache>
            </c:numRef>
          </c:cat>
          <c:val>
            <c:numRef>
              <c:f>Sheet1!$B$2</c:f>
              <c:numCache>
                <c:formatCode>General</c:formatCode>
                <c:ptCount val="1"/>
                <c:pt idx="0">
                  <c:v>225.12</c:v>
                </c:pt>
              </c:numCache>
            </c:numRef>
          </c:val>
        </c:ser>
        <c:ser>
          <c:idx val="1"/>
          <c:order val="1"/>
          <c:tx>
            <c:strRef>
              <c:f>Sheet1!$C$1</c:f>
              <c:strCache>
                <c:ptCount val="1"/>
                <c:pt idx="0">
                  <c:v>2019年财政拨款支出</c:v>
                </c:pt>
              </c:strCache>
            </c:strRef>
          </c:tx>
          <c:invertIfNegative val="0"/>
          <c:dLbls>
            <c:delete val="1"/>
          </c:dLbls>
          <c:cat>
            <c:numRef>
              <c:f>Sheet1!$A$2</c:f>
              <c:numCache>
                <c:formatCode>General</c:formatCode>
                <c:ptCount val="1"/>
              </c:numCache>
            </c:numRef>
          </c:cat>
          <c:val>
            <c:numRef>
              <c:f>Sheet1!$C$2</c:f>
              <c:numCache>
                <c:formatCode>General</c:formatCode>
                <c:ptCount val="1"/>
                <c:pt idx="0">
                  <c:v>137.41</c:v>
                </c:pt>
              </c:numCache>
            </c:numRef>
          </c:val>
        </c:ser>
        <c:ser>
          <c:idx val="2"/>
          <c:order val="2"/>
          <c:tx>
            <c:strRef>
              <c:f>Sheet1!$D$1</c:f>
              <c:strCache>
                <c:ptCount val="1"/>
                <c:pt idx="0">
                  <c:v>2019年总支出</c:v>
                </c:pt>
              </c:strCache>
            </c:strRef>
          </c:tx>
          <c:invertIfNegative val="0"/>
          <c:dLbls>
            <c:delete val="1"/>
          </c:dLbls>
          <c:cat>
            <c:numRef>
              <c:f>Sheet1!$A$2</c:f>
              <c:numCache>
                <c:formatCode>General</c:formatCode>
                <c:ptCount val="1"/>
              </c:numCache>
            </c:numRef>
          </c:cat>
          <c:val>
            <c:numRef>
              <c:f>Sheet1!$D$2</c:f>
              <c:numCache>
                <c:formatCode>General</c:formatCode>
                <c:ptCount val="1"/>
                <c:pt idx="0">
                  <c:v>210.76</c:v>
                </c:pt>
              </c:numCache>
            </c:numRef>
          </c:val>
        </c:ser>
        <c:dLbls>
          <c:showLegendKey val="0"/>
          <c:showVal val="0"/>
          <c:showCatName val="0"/>
          <c:showSerName val="0"/>
          <c:showPercent val="0"/>
          <c:showBubbleSize val="0"/>
        </c:dLbls>
        <c:gapWidth val="150"/>
        <c:axId val="58086528"/>
        <c:axId val="58088064"/>
      </c:barChart>
      <c:catAx>
        <c:axId val="58086528"/>
        <c:scaling>
          <c:orientation val="minMax"/>
        </c:scaling>
        <c:delete val="0"/>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088064"/>
        <c:crosses val="autoZero"/>
        <c:auto val="1"/>
        <c:lblAlgn val="ctr"/>
        <c:lblOffset val="100"/>
        <c:noMultiLvlLbl val="0"/>
      </c:catAx>
      <c:valAx>
        <c:axId val="58088064"/>
        <c:scaling>
          <c:orientation val="minMax"/>
        </c:scaling>
        <c:delete val="0"/>
        <c:axPos val="b"/>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808652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5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因公出国（境）支出情况</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Sheet1!$B$2:$B$3</c:f>
              <c:numCache>
                <c:formatCode>General</c:formatCode>
                <c:ptCount val="2"/>
                <c:pt idx="0">
                  <c:v>0</c:v>
                </c:pt>
                <c:pt idx="1">
                  <c:v>0</c:v>
                </c:pt>
              </c:numCache>
            </c:numRef>
          </c:val>
        </c:ser>
        <c:ser>
          <c:idx val="1"/>
          <c:order val="1"/>
          <c:tx>
            <c:strRef>
              <c:f>Sheet1!$C$1</c:f>
              <c:strCache>
                <c:ptCount val="1"/>
                <c:pt idx="0">
                  <c:v>列2</c:v>
                </c:pt>
              </c:strCache>
            </c:strRef>
          </c:tx>
          <c:explosion val="0"/>
          <c:dPt>
            <c:idx val="0"/>
            <c:bubble3D val="0"/>
          </c:dPt>
          <c:dPt>
            <c:idx val="1"/>
            <c:bubble3D val="0"/>
          </c:dPt>
          <c:dLbls>
            <c:delete val="1"/>
          </c:dLbls>
          <c:cat>
            <c:strRef>
              <c:f>Sheet1!$A$2:$A$3</c:f>
              <c:strCache>
                <c:ptCount val="2"/>
                <c:pt idx="0">
                  <c:v>预算数</c:v>
                </c:pt>
                <c:pt idx="1">
                  <c:v>决算数</c:v>
                </c:pt>
              </c:strCache>
            </c:strRef>
          </c:cat>
          <c:val>
            <c:numRef>
              <c:f>Sheet1!$C$2:$C$3</c:f>
              <c:numCache>
                <c:formatCode>General</c:formatCode>
                <c:ptCount val="2"/>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1547</Words>
  <Characters>8820</Characters>
  <Lines>73</Lines>
  <Paragraphs>20</Paragraphs>
  <TotalTime>0</TotalTime>
  <ScaleCrop>false</ScaleCrop>
  <LinksUpToDate>false</LinksUpToDate>
  <CharactersWithSpaces>10347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2020-10-10T02:13:00Z</dcterms:created>
  <dc:creator>Administrator</dc:creator>
  <cp:lastModifiedBy>user</cp:lastModifiedBy>
  <cp:lastPrinted>2020-10-10T07:20:00Z</cp:lastPrinted>
  <dcterms:modified xsi:type="dcterms:W3CDTF">2022-03-24T09:33:17Z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