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交通运输</w:t>
      </w:r>
      <w:r>
        <w:rPr>
          <w:rFonts w:hint="eastAsia" w:asciiTheme="majorEastAsia" w:hAnsiTheme="majorEastAsia" w:eastAsiaTheme="majorEastAsia" w:cstheme="majorEastAsia"/>
          <w:b/>
          <w:bCs/>
          <w:sz w:val="48"/>
          <w:szCs w:val="48"/>
          <w:lang w:eastAsia="zh-CN"/>
        </w:rPr>
        <w:t>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24"/>
          <w:lang w:val="en-US"/>
        </w:rPr>
      </w:pPr>
      <w:r>
        <w:rPr>
          <w:rFonts w:hint="eastAsia" w:ascii="仿宋_GB2312" w:hAnsi="仿宋_GB2312" w:eastAsia="仿宋_GB2312" w:cs="仿宋_GB2312"/>
          <w:kern w:val="2"/>
          <w:sz w:val="32"/>
          <w:szCs w:val="24"/>
          <w:lang w:val="en-US" w:eastAsia="zh-CN" w:bidi="ar"/>
        </w:rPr>
        <w:t>杨陵区交通局成立于1995年4月（2010年10月更名为杨陵区交通运输局），是区政府主管交通工作的职能部门，主要承担着全区农村公路建设、公路养护、路政管理、交通运输管理、水上运输管理、驾驶员培训学校管理、交通战备等职责。</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numPr>
          <w:ilvl w:val="0"/>
          <w:numId w:val="0"/>
        </w:numPr>
        <w:jc w:val="left"/>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    </w:t>
      </w:r>
      <w:r>
        <w:rPr>
          <w:rFonts w:hint="eastAsia" w:ascii="仿宋_GB2312" w:hAnsi="仿宋_GB2312" w:eastAsia="仿宋_GB2312" w:cs="仿宋_GB2312"/>
          <w:sz w:val="32"/>
          <w:szCs w:val="32"/>
        </w:rPr>
        <w:t>杨陵区交通</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下设4个事业单位，杨陵区道路运输管理所，杨陵区公路管理站，杨陵区出租车管理办公室，杨陵区公路工程质量监督站。</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杨陵区交通运输局本级（机关）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杨陵区公路管理站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杨陵区道路运输管理所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杨陵区出租车管理办公室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杨陵区公路工程质量监督站</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kern w:val="2"/>
          <w:sz w:val="32"/>
          <w:szCs w:val="32"/>
          <w:lang w:val="en-US" w:eastAsia="zh-CN" w:bidi="ar"/>
        </w:rPr>
        <w:t>59</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sz w:val="32"/>
          <w:szCs w:val="32"/>
        </w:rPr>
        <w:t>人、事业编制</w:t>
      </w:r>
      <w:r>
        <w:rPr>
          <w:rFonts w:hint="eastAsia" w:ascii="仿宋_GB2312" w:hAnsi="仿宋_GB2312" w:eastAsia="仿宋_GB2312" w:cs="仿宋_GB2312"/>
          <w:kern w:val="2"/>
          <w:sz w:val="32"/>
          <w:szCs w:val="32"/>
          <w:lang w:val="en-US" w:eastAsia="zh-CN" w:bidi="ar"/>
        </w:rPr>
        <w:t>54</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人。</w:t>
      </w:r>
    </w:p>
    <w:p>
      <w:pPr>
        <w:ind w:firstLine="640"/>
      </w:pPr>
      <w:r>
        <w:drawing>
          <wp:inline distT="0" distB="0" distL="114300" distR="114300">
            <wp:extent cx="4572000" cy="2743200"/>
            <wp:effectExtent l="4445" t="4445" r="14605" b="14605"/>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pPr>
    </w:p>
    <w:p>
      <w:pPr>
        <w:ind w:firstLine="640"/>
      </w:pPr>
    </w:p>
    <w:p>
      <w:pPr>
        <w:ind w:firstLine="640"/>
      </w:pPr>
    </w:p>
    <w:p>
      <w:pPr>
        <w:ind w:firstLine="640"/>
      </w:pPr>
    </w:p>
    <w:p>
      <w:pPr>
        <w:ind w:firstLine="640"/>
      </w:pPr>
    </w:p>
    <w:p>
      <w:pPr>
        <w:ind w:firstLine="640"/>
      </w:pPr>
    </w:p>
    <w:p>
      <w:pPr>
        <w:ind w:firstLine="640"/>
      </w:pPr>
    </w:p>
    <w:p>
      <w:pPr>
        <w:pStyle w:val="2"/>
        <w:bidi w:val="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rPr>
          <w:rFonts w:hint="eastAsia"/>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本年度本单位无</w:t>
            </w:r>
            <w:r>
              <w:rPr>
                <w:rFonts w:hint="eastAsia" w:ascii="宋体" w:hAnsi="宋体" w:cs="宋体"/>
                <w:color w:val="000000"/>
                <w:kern w:val="0"/>
                <w:sz w:val="24"/>
                <w:lang w:bidi="ar"/>
              </w:rPr>
              <w:t>政府性基金</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杨陵区交通运输局</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716.05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2140.14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2780.76</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2856.19</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2785.86</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329.12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399.45</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3185.31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3185.31</w:t>
            </w:r>
          </w:p>
        </w:tc>
      </w:tr>
    </w:tbl>
    <w:p>
      <w:pPr>
        <w:keepNext w:val="0"/>
        <w:keepLines w:val="0"/>
        <w:widowControl/>
        <w:suppressLineNumbers w:val="0"/>
        <w:jc w:val="left"/>
        <w:rPr>
          <w:rFonts w:hint="eastAsia" w:ascii="宋体" w:hAnsi="宋体" w:cs="宋体"/>
          <w:color w:val="000000"/>
          <w:kern w:val="0"/>
          <w:szCs w:val="21"/>
          <w:lang w:val="en-US" w:eastAsia="zh-CN"/>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keepNext w:val="0"/>
        <w:keepLines w:val="0"/>
        <w:widowControl/>
        <w:suppressLineNumbers w:val="0"/>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9025" w:type="dxa"/>
        <w:tblInd w:w="-62" w:type="dxa"/>
        <w:tblLayout w:type="fixed"/>
        <w:tblCellMar>
          <w:top w:w="15" w:type="dxa"/>
          <w:left w:w="15" w:type="dxa"/>
          <w:bottom w:w="15" w:type="dxa"/>
          <w:right w:w="15" w:type="dxa"/>
        </w:tblCellMar>
      </w:tblPr>
      <w:tblGrid>
        <w:gridCol w:w="989"/>
        <w:gridCol w:w="1848"/>
        <w:gridCol w:w="938"/>
        <w:gridCol w:w="912"/>
        <w:gridCol w:w="463"/>
        <w:gridCol w:w="512"/>
        <w:gridCol w:w="700"/>
        <w:gridCol w:w="700"/>
        <w:gridCol w:w="863"/>
        <w:gridCol w:w="1100"/>
      </w:tblGrid>
      <w:tr>
        <w:tblPrEx>
          <w:tblCellMar>
            <w:top w:w="15" w:type="dxa"/>
            <w:left w:w="15" w:type="dxa"/>
            <w:bottom w:w="15" w:type="dxa"/>
            <w:right w:w="15" w:type="dxa"/>
          </w:tblCellMar>
        </w:tblPrEx>
        <w:trPr>
          <w:trHeight w:val="384" w:hRule="atLeast"/>
        </w:trPr>
        <w:tc>
          <w:tcPr>
            <w:tcW w:w="28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4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2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918" w:hRule="atLeast"/>
        </w:trPr>
        <w:tc>
          <w:tcPr>
            <w:tcW w:w="98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4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8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2,856.19</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716.05</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2,140.14</w:t>
            </w:r>
          </w:p>
        </w:tc>
      </w:tr>
      <w:tr>
        <w:tblPrEx>
          <w:tblCellMar>
            <w:top w:w="15" w:type="dxa"/>
            <w:left w:w="15" w:type="dxa"/>
            <w:bottom w:w="15" w:type="dxa"/>
            <w:right w:w="15" w:type="dxa"/>
          </w:tblCellMar>
        </w:tblPrEx>
        <w:trPr>
          <w:trHeight w:val="55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201</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r>
      <w:tr>
        <w:tblPrEx>
          <w:tblCellMar>
            <w:top w:w="15" w:type="dxa"/>
            <w:left w:w="15" w:type="dxa"/>
            <w:bottom w:w="15" w:type="dxa"/>
            <w:right w:w="15" w:type="dxa"/>
          </w:tblCellMar>
        </w:tblPrEx>
        <w:trPr>
          <w:trHeight w:val="534"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宣传事务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r>
      <w:tr>
        <w:tblPrEx>
          <w:tblCellMar>
            <w:top w:w="15" w:type="dxa"/>
            <w:left w:w="15" w:type="dxa"/>
            <w:bottom w:w="15" w:type="dxa"/>
            <w:right w:w="15" w:type="dxa"/>
          </w:tblCellMar>
        </w:tblPrEx>
        <w:trPr>
          <w:trHeight w:val="50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2013399</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其他宣传事务支出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r>
      <w:tr>
        <w:tblPrEx>
          <w:tblCellMar>
            <w:top w:w="15" w:type="dxa"/>
            <w:left w:w="15" w:type="dxa"/>
            <w:bottom w:w="15" w:type="dxa"/>
            <w:right w:w="15"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r>
      <w:tr>
        <w:tblPrEx>
          <w:tblCellMar>
            <w:top w:w="15" w:type="dxa"/>
            <w:left w:w="15" w:type="dxa"/>
            <w:bottom w:w="15" w:type="dxa"/>
            <w:right w:w="15"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就业补助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r>
      <w:tr>
        <w:tblPrEx>
          <w:tblCellMar>
            <w:top w:w="15" w:type="dxa"/>
            <w:left w:w="15" w:type="dxa"/>
            <w:bottom w:w="15" w:type="dxa"/>
            <w:right w:w="15" w:type="dxa"/>
          </w:tblCellMar>
        </w:tblPrEx>
        <w:trPr>
          <w:trHeight w:val="587"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2080799</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其他就业补助支出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r>
      <w:tr>
        <w:tblPrEx>
          <w:tblCellMar>
            <w:top w:w="15" w:type="dxa"/>
            <w:left w:w="15" w:type="dxa"/>
            <w:bottom w:w="15" w:type="dxa"/>
            <w:right w:w="15" w:type="dxa"/>
          </w:tblCellMar>
        </w:tblPrEx>
        <w:trPr>
          <w:trHeight w:val="534"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交通运输支出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2,851.09</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716.05</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2,135.04</w:t>
            </w:r>
          </w:p>
        </w:tc>
      </w:tr>
      <w:tr>
        <w:tblPrEx>
          <w:tblCellMar>
            <w:top w:w="15" w:type="dxa"/>
            <w:left w:w="15" w:type="dxa"/>
            <w:bottom w:w="15" w:type="dxa"/>
            <w:right w:w="15" w:type="dxa"/>
          </w:tblCellMar>
        </w:tblPrEx>
        <w:trPr>
          <w:trHeight w:val="50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公路水路运输</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2,676.14</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716.05</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1,960.09</w:t>
            </w:r>
          </w:p>
        </w:tc>
      </w:tr>
      <w:tr>
        <w:tblPrEx>
          <w:tblCellMar>
            <w:top w:w="15" w:type="dxa"/>
            <w:left w:w="15" w:type="dxa"/>
            <w:bottom w:w="15" w:type="dxa"/>
            <w:right w:w="15" w:type="dxa"/>
          </w:tblCellMar>
        </w:tblPrEx>
        <w:trPr>
          <w:trHeight w:val="484"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2140101</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108.58</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107.27</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1.31</w:t>
            </w:r>
          </w:p>
        </w:tc>
      </w:tr>
      <w:tr>
        <w:tblPrEx>
          <w:tblCellMar>
            <w:top w:w="15" w:type="dxa"/>
            <w:left w:w="15" w:type="dxa"/>
            <w:bottom w:w="15" w:type="dxa"/>
            <w:right w:w="15" w:type="dxa"/>
          </w:tblCellMar>
        </w:tblPrEx>
        <w:trPr>
          <w:trHeight w:val="484"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2140106</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公路养护</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277.04</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102.04</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175.00</w:t>
            </w:r>
          </w:p>
        </w:tc>
      </w:tr>
      <w:tr>
        <w:tblPrEx>
          <w:tblCellMar>
            <w:top w:w="15" w:type="dxa"/>
            <w:left w:w="15" w:type="dxa"/>
            <w:bottom w:w="15" w:type="dxa"/>
            <w:right w:w="15"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2140199</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其他公路水路运输支出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2,290.52</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506.74</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1,783.78</w:t>
            </w:r>
          </w:p>
        </w:tc>
      </w:tr>
      <w:tr>
        <w:tblPrEx>
          <w:tblCellMar>
            <w:top w:w="15" w:type="dxa"/>
            <w:left w:w="15" w:type="dxa"/>
            <w:bottom w:w="15" w:type="dxa"/>
            <w:right w:w="15"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174.95</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174.95</w:t>
            </w:r>
          </w:p>
        </w:tc>
      </w:tr>
      <w:tr>
        <w:tblPrEx>
          <w:tblCellMar>
            <w:top w:w="15" w:type="dxa"/>
            <w:left w:w="15" w:type="dxa"/>
            <w:bottom w:w="15" w:type="dxa"/>
            <w:right w:w="15" w:type="dxa"/>
          </w:tblCellMar>
        </w:tblPrEx>
        <w:trPr>
          <w:trHeight w:val="622"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2140401</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对城市公交的补贴</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18.40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18.40</w:t>
            </w:r>
          </w:p>
        </w:tc>
      </w:tr>
      <w:tr>
        <w:tblPrEx>
          <w:tblCellMar>
            <w:top w:w="15" w:type="dxa"/>
            <w:left w:w="15" w:type="dxa"/>
            <w:bottom w:w="15" w:type="dxa"/>
            <w:right w:w="15"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2140402</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对农村道路客运的补贴</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33.50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33.50</w:t>
            </w:r>
          </w:p>
        </w:tc>
      </w:tr>
      <w:tr>
        <w:tblPrEx>
          <w:tblCellMar>
            <w:top w:w="15" w:type="dxa"/>
            <w:left w:w="15" w:type="dxa"/>
            <w:bottom w:w="15" w:type="dxa"/>
            <w:right w:w="15" w:type="dxa"/>
          </w:tblCellMar>
        </w:tblPrEx>
        <w:trPr>
          <w:trHeight w:val="544"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2140403</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对出租车的补贴</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123.05</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123.05</w:t>
            </w:r>
          </w:p>
        </w:tc>
      </w:tr>
    </w:tbl>
    <w:p>
      <w:pPr>
        <w:keepNext w:val="0"/>
        <w:keepLines w:val="0"/>
        <w:widowControl/>
        <w:suppressLineNumbers w:val="0"/>
        <w:jc w:val="left"/>
        <w:rPr>
          <w:rFonts w:hint="eastAsia" w:ascii="宋体" w:hAnsi="宋体" w:cs="宋体"/>
          <w:b/>
          <w:bCs/>
          <w:sz w:val="32"/>
          <w:szCs w:val="32"/>
        </w:rPr>
      </w:pPr>
      <w:r>
        <w:rPr>
          <w:rFonts w:hint="eastAsia" w:ascii="宋体" w:hAnsi="宋体" w:cs="宋体"/>
          <w:spacing w:val="-6"/>
          <w:szCs w:val="21"/>
        </w:rPr>
        <w:t>注：本表反映部门本年度取得的各项收入情况</w:t>
      </w:r>
      <w:r>
        <w:rPr>
          <w:rFonts w:hint="eastAsia" w:ascii="宋体" w:hAnsi="宋体" w:cs="宋体"/>
          <w:spacing w:val="-6"/>
          <w:szCs w:val="21"/>
          <w:lang w:eastAsia="zh-CN"/>
        </w:rPr>
        <w:t>。</w:t>
      </w:r>
      <w:r>
        <w:rPr>
          <w:rFonts w:hint="eastAsia" w:ascii="宋体" w:hAnsi="宋体" w:cs="宋体"/>
          <w:color w:val="000000"/>
          <w:spacing w:val="-6"/>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jc w:val="left"/>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925" w:type="dxa"/>
        <w:tblInd w:w="0" w:type="dxa"/>
        <w:tblLayout w:type="fixed"/>
        <w:tblCellMar>
          <w:top w:w="15" w:type="dxa"/>
          <w:left w:w="15" w:type="dxa"/>
          <w:bottom w:w="15" w:type="dxa"/>
          <w:right w:w="15" w:type="dxa"/>
        </w:tblCellMar>
      </w:tblPr>
      <w:tblGrid>
        <w:gridCol w:w="914"/>
        <w:gridCol w:w="83"/>
        <w:gridCol w:w="2291"/>
        <w:gridCol w:w="950"/>
        <w:gridCol w:w="1112"/>
        <w:gridCol w:w="1163"/>
        <w:gridCol w:w="750"/>
        <w:gridCol w:w="575"/>
        <w:gridCol w:w="1087"/>
      </w:tblGrid>
      <w:tr>
        <w:tblPrEx>
          <w:tblCellMar>
            <w:top w:w="15" w:type="dxa"/>
            <w:left w:w="15" w:type="dxa"/>
            <w:bottom w:w="15" w:type="dxa"/>
            <w:right w:w="15" w:type="dxa"/>
          </w:tblCellMar>
        </w:tblPrEx>
        <w:trPr>
          <w:trHeight w:val="372" w:hRule="atLeast"/>
        </w:trPr>
        <w:tc>
          <w:tcPr>
            <w:tcW w:w="32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0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2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2,785.86</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576.56</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2,209.30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宣传事务</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其他宣传事务支出</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就业补助</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其他就业补助支出</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交通运输支出</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2,780.76</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576.56</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2,204.20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公路水路运输</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2,399.37</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576.56</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1,822.81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108.58</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108.58</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2140106</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公路养护</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126.15</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126.15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2140199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其他公路水路运输支出</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2,164.65</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467.98</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1,696.67</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381.39</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381.39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对城市公交的补贴</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55.20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55.20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对农村道路客运的补贴</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70.50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70.50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对出租车的补贴</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255.69</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255.69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p>
            <w:pPr>
              <w:keepNext w:val="0"/>
              <w:keepLines w:val="0"/>
              <w:widowControl/>
              <w:suppressLineNumbers w:val="0"/>
              <w:jc w:val="right"/>
              <w:textAlignment w:val="center"/>
              <w:rPr>
                <w:rFonts w:ascii="宋体" w:hAnsi="宋体" w:cs="宋体"/>
                <w:color w:val="000000"/>
                <w:szCs w:val="21"/>
              </w:rPr>
            </w:pPr>
          </w:p>
        </w:tc>
      </w:tr>
    </w:tbl>
    <w:p>
      <w:pPr>
        <w:keepNext w:val="0"/>
        <w:keepLines w:val="0"/>
        <w:widowControl/>
        <w:suppressLineNumbers w:val="0"/>
        <w:jc w:val="left"/>
        <w:rPr>
          <w:rFonts w:hint="eastAsia" w:ascii="宋体" w:hAnsi="宋体" w:cs="宋体"/>
          <w:color w:val="000000"/>
          <w:kern w:val="0"/>
          <w:szCs w:val="21"/>
          <w:lang w:val="en-US" w:eastAsia="zh-CN"/>
        </w:rPr>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keepNext w:val="0"/>
        <w:keepLines w:val="0"/>
        <w:widowControl/>
        <w:suppressLineNumbers w:val="0"/>
        <w:jc w:val="left"/>
        <w:rPr>
          <w:rFonts w:hint="eastAsia" w:ascii="宋体" w:hAnsi="宋体" w:cs="宋体"/>
          <w:color w:val="000000"/>
          <w:kern w:val="0"/>
          <w:szCs w:val="21"/>
          <w:lang w:val="en-US" w:eastAsia="zh-CN"/>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杨陵区交通运输局</w:t>
      </w:r>
      <w:r>
        <w:rPr>
          <w:rFonts w:hint="eastAsia" w:ascii="宋体" w:hAnsi="宋体" w:cs="宋体"/>
          <w:b/>
          <w:bCs/>
          <w:szCs w:val="21"/>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716.05</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716.05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716.05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716.05</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716.05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716.05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716.05</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716.05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color w:val="000000"/>
                <w:szCs w:val="21"/>
                <w:lang w:val="en-US" w:eastAsia="zh-CN"/>
              </w:rPr>
              <w:t>716.05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716.05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716.05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716.05</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831"/>
        <w:gridCol w:w="975"/>
        <w:gridCol w:w="1012"/>
        <w:gridCol w:w="1000"/>
        <w:gridCol w:w="1013"/>
        <w:gridCol w:w="1037"/>
        <w:gridCol w:w="739"/>
      </w:tblGrid>
      <w:tr>
        <w:tblPrEx>
          <w:tblCellMar>
            <w:top w:w="15" w:type="dxa"/>
            <w:left w:w="15" w:type="dxa"/>
            <w:bottom w:w="15" w:type="dxa"/>
            <w:right w:w="15" w:type="dxa"/>
          </w:tblCellMar>
        </w:tblPrEx>
        <w:trPr>
          <w:trHeight w:val="414" w:hRule="atLeast"/>
        </w:trPr>
        <w:tc>
          <w:tcPr>
            <w:tcW w:w="3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302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highlight w:val="none"/>
              </w:rPr>
            </w:pPr>
            <w:r>
              <w:rPr>
                <w:rFonts w:hint="eastAsia" w:ascii="宋体" w:hAnsi="宋体" w:cs="宋体"/>
                <w:b/>
                <w:bCs/>
                <w:color w:val="000000"/>
                <w:kern w:val="0"/>
                <w:szCs w:val="21"/>
                <w:highlight w:val="none"/>
              </w:rPr>
              <w:t>合计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716.05</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574.74</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557.41</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17.32</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141.31</w:t>
            </w: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201</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20133</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宣传事务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2013399</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其他宣传事务支出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208</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20807</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就业补助</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2080799</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其他就业补助支出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214</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交通运输支出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716.05</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i w:val="0"/>
                <w:color w:val="000000"/>
                <w:kern w:val="0"/>
                <w:sz w:val="22"/>
                <w:szCs w:val="22"/>
                <w:highlight w:val="none"/>
                <w:u w:val="none"/>
                <w:lang w:val="en-US" w:eastAsia="zh-CN" w:bidi="ar"/>
              </w:rPr>
            </w:pPr>
            <w:r>
              <w:rPr>
                <w:rFonts w:hint="eastAsia" w:ascii="宋体" w:hAnsi="宋体" w:cs="宋体"/>
                <w:color w:val="000000"/>
                <w:szCs w:val="21"/>
                <w:highlight w:val="none"/>
                <w:lang w:val="en-US" w:eastAsia="zh-CN"/>
              </w:rPr>
              <w:t>574.74</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557.41</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17.32</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141.31</w:t>
            </w: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21401</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公路水路运输</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716.05</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574.74</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557.41</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17.32</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141.31</w:t>
            </w: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2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2140101</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行政运行</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107.27</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107.27</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93.67</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13.6</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2140106</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公路养护</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102.04</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kern w:val="2"/>
                <w:sz w:val="21"/>
                <w:szCs w:val="21"/>
                <w:highlight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102.04</w:t>
            </w: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2140199</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2"/>
                <w:szCs w:val="22"/>
                <w:highlight w:val="none"/>
                <w:u w:val="none"/>
                <w:lang w:val="en-US" w:eastAsia="zh-CN" w:bidi="ar"/>
              </w:rPr>
              <w:t>其他公路水路运输支出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506.74</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467.47</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463.75</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3.72</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39.27</w:t>
            </w: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2140401</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对城市公交的补贴</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2140402</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对农村道路客运的补贴</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2140403</w:t>
            </w:r>
          </w:p>
        </w:tc>
        <w:tc>
          <w:tcPr>
            <w:tcW w:w="1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对出租车的补贴</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杨陵区交通运输局</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574.74</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557.41</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17.33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555.74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181.85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143.71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120.80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50.16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59.22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2.96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18"/>
                <w:szCs w:val="18"/>
                <w:u w:val="none"/>
                <w:lang w:val="en-US" w:eastAsia="zh-CN" w:bidi="ar"/>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18"/>
                <w:szCs w:val="18"/>
                <w:u w:val="none"/>
                <w:lang w:val="en-US" w:eastAsia="zh-CN" w:bidi="ar"/>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2.49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18"/>
                <w:szCs w:val="18"/>
                <w:u w:val="none"/>
                <w:lang w:val="en-US" w:eastAsia="zh-CN" w:bidi="ar"/>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18"/>
                <w:szCs w:val="18"/>
                <w:u w:val="none"/>
                <w:lang w:val="en-US" w:eastAsia="zh-CN" w:bidi="ar"/>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0.87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其他交通费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bl>
    <w:p>
      <w:pPr>
        <w:keepNext w:val="0"/>
        <w:keepLines w:val="0"/>
        <w:widowControl/>
        <w:suppressLineNumbers w:val="0"/>
        <w:jc w:val="left"/>
        <w:rPr>
          <w:rFonts w:ascii="宋体" w:hAnsi="宋体" w:cs="宋体"/>
          <w:b/>
          <w:bCs/>
          <w:sz w:val="32"/>
          <w:szCs w:val="32"/>
        </w:rPr>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 xml:space="preserve">杨陵区交通运输局      </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4.63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1.54</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3.09</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3.09</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3.41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1.25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杨陵区交通运输局       </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sz w:val="32"/>
          <w:szCs w:val="32"/>
          <w:lang w:val="en-US" w:eastAsia="zh-CN"/>
        </w:rPr>
        <w:t>2856.19</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增加16.49</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的主要原因是</w:t>
      </w:r>
      <w:r>
        <w:rPr>
          <w:rFonts w:hint="eastAsia" w:ascii="仿宋" w:hAnsi="仿宋" w:eastAsia="仿宋" w:cs="仿宋"/>
          <w:kern w:val="2"/>
          <w:sz w:val="32"/>
          <w:szCs w:val="32"/>
          <w:lang w:val="en-US" w:eastAsia="zh-CN" w:bidi="ar"/>
        </w:rPr>
        <w:t>项目资金增加</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drawing>
          <wp:inline distT="0" distB="0" distL="0" distR="0">
            <wp:extent cx="5494655" cy="1540510"/>
            <wp:effectExtent l="4445" t="4445" r="635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w:t>
      </w:r>
      <w:r>
        <w:rPr>
          <w:rFonts w:hint="eastAsia" w:ascii="仿宋_GB2312" w:hAnsi="仿宋" w:eastAsia="仿宋_GB2312"/>
          <w:sz w:val="32"/>
          <w:szCs w:val="32"/>
          <w:lang w:val="en-US" w:eastAsia="zh-CN"/>
        </w:rPr>
        <w:t>2785.86</w:t>
      </w:r>
      <w:r>
        <w:rPr>
          <w:rFonts w:hint="eastAsia" w:ascii="仿宋_GB2312" w:hAnsi="仿宋" w:eastAsia="仿宋_GB2312"/>
          <w:sz w:val="32"/>
          <w:szCs w:val="32"/>
        </w:rPr>
        <w:t>万元，及比上年</w:t>
      </w:r>
      <w:r>
        <w:rPr>
          <w:rFonts w:hint="eastAsia" w:ascii="仿宋_GB2312" w:hAnsi="仿宋" w:eastAsia="仿宋_GB2312"/>
          <w:sz w:val="32"/>
          <w:szCs w:val="32"/>
          <w:lang w:val="en-US" w:eastAsia="zh-CN"/>
        </w:rPr>
        <w:t>增加17.89</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的主要原因是项目资金</w:t>
      </w:r>
      <w:r>
        <w:rPr>
          <w:rFonts w:hint="eastAsia" w:ascii="仿宋" w:hAnsi="仿宋" w:eastAsia="仿宋" w:cs="仿宋"/>
          <w:kern w:val="2"/>
          <w:sz w:val="32"/>
          <w:szCs w:val="32"/>
          <w:lang w:val="en-US" w:eastAsia="zh-CN" w:bidi="ar"/>
        </w:rPr>
        <w:t>增加</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inline distT="0" distB="0" distL="0" distR="0">
            <wp:extent cx="5494655" cy="1540510"/>
            <wp:effectExtent l="4445" t="4445" r="635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仿宋" w:eastAsia="仿宋_GB2312"/>
          <w:sz w:val="32"/>
          <w:szCs w:val="32"/>
          <w:lang w:val="en-US" w:eastAsia="zh-CN"/>
        </w:rPr>
        <w:t>2856.19</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716.05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25.07</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2140.14</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lang w:val="en-US" w:eastAsia="zh-CN"/>
        </w:rPr>
        <w:t>74.93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 xml:space="preserve">   </w:t>
      </w:r>
      <w:r>
        <w:drawing>
          <wp:inline distT="0" distB="0" distL="114300" distR="114300">
            <wp:extent cx="4509135" cy="2626360"/>
            <wp:effectExtent l="4445" t="4445" r="20320" b="1714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eastAsia" w:ascii="仿宋_GB2312" w:hAnsi="宋体" w:eastAsia="仿宋_GB2312" w:cs="仿宋_GB2312"/>
          <w:color w:val="000000"/>
          <w:kern w:val="0"/>
          <w:sz w:val="32"/>
          <w:szCs w:val="32"/>
        </w:rPr>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2785.86</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576.56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20.69</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2209.30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79.31</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716.05</w:t>
      </w:r>
      <w:r>
        <w:rPr>
          <w:rFonts w:hint="eastAsia" w:ascii="仿宋_GB2312" w:hAnsi="仿宋" w:eastAsia="仿宋_GB2312"/>
          <w:sz w:val="32"/>
          <w:szCs w:val="32"/>
        </w:rPr>
        <w:t>万元，总体情况及比上年减少</w:t>
      </w:r>
      <w:r>
        <w:rPr>
          <w:rFonts w:hint="eastAsia" w:ascii="仿宋_GB2312" w:hAnsi="仿宋" w:eastAsia="仿宋_GB2312"/>
          <w:sz w:val="32"/>
          <w:szCs w:val="32"/>
          <w:lang w:val="en-US" w:eastAsia="zh-CN"/>
        </w:rPr>
        <w:t>8.35</w:t>
      </w:r>
      <w:r>
        <w:rPr>
          <w:rFonts w:hint="eastAsia" w:ascii="仿宋_GB2312" w:hAnsi="仿宋" w:eastAsia="仿宋_GB2312"/>
          <w:sz w:val="32"/>
          <w:szCs w:val="32"/>
        </w:rPr>
        <w:t>%，减少的主要原因是</w:t>
      </w:r>
      <w:r>
        <w:rPr>
          <w:rFonts w:hint="eastAsia" w:ascii="仿宋_GB2312" w:hAnsi="仿宋_GB2312" w:eastAsia="仿宋_GB2312" w:cs="仿宋_GB2312"/>
          <w:kern w:val="2"/>
          <w:sz w:val="32"/>
          <w:szCs w:val="24"/>
          <w:lang w:val="en-US" w:eastAsia="zh-CN" w:bidi="ar"/>
        </w:rPr>
        <w:t>公用经费减少</w:t>
      </w:r>
      <w:r>
        <w:rPr>
          <w:rFonts w:hint="eastAsia" w:ascii="仿宋_GB2312" w:hAnsi="仿宋" w:eastAsia="仿宋_GB2312"/>
          <w:sz w:val="32"/>
          <w:szCs w:val="32"/>
        </w:rPr>
        <w:t>。</w:t>
      </w:r>
    </w:p>
    <w:p>
      <w:pPr>
        <w:widowControl/>
        <w:ind w:firstLine="420" w:firstLineChars="200"/>
        <w:jc w:val="left"/>
        <w:rPr>
          <w:rFonts w:ascii="仿宋_GB2312" w:hAnsi="仿宋" w:eastAsia="仿宋_GB2312"/>
          <w:sz w:val="32"/>
          <w:szCs w:val="32"/>
        </w:rPr>
      </w:pPr>
      <w:r>
        <w:drawing>
          <wp:inline distT="0" distB="0" distL="114300" distR="114300">
            <wp:extent cx="4572000" cy="1885315"/>
            <wp:effectExtent l="4445" t="4445" r="14605"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716.05</w:t>
      </w:r>
      <w:r>
        <w:rPr>
          <w:rFonts w:hint="eastAsia" w:ascii="仿宋_GB2312" w:hAnsi="仿宋" w:eastAsia="仿宋_GB2312"/>
          <w:sz w:val="32"/>
          <w:szCs w:val="32"/>
        </w:rPr>
        <w:t>万元，总体情况及比上年减少</w:t>
      </w:r>
      <w:r>
        <w:rPr>
          <w:rFonts w:hint="eastAsia" w:ascii="仿宋_GB2312" w:hAnsi="仿宋" w:eastAsia="仿宋_GB2312"/>
          <w:sz w:val="32"/>
          <w:szCs w:val="32"/>
          <w:lang w:val="en-US" w:eastAsia="zh-CN"/>
        </w:rPr>
        <w:t>8.35</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w:t>
      </w:r>
      <w:r>
        <w:rPr>
          <w:rFonts w:hint="eastAsia" w:ascii="仿宋_GB2312" w:hAnsi="宋体" w:eastAsia="仿宋_GB2312" w:cs="仿宋_GB2312"/>
          <w:color w:val="000000"/>
          <w:kern w:val="0"/>
          <w:sz w:val="32"/>
          <w:szCs w:val="32"/>
        </w:rPr>
        <w:t>日常公用经费减少</w:t>
      </w:r>
      <w:r>
        <w:rPr>
          <w:rFonts w:hint="eastAsia" w:ascii="仿宋_GB2312" w:hAnsi="仿宋" w:eastAsia="仿宋_GB2312"/>
          <w:sz w:val="32"/>
          <w:szCs w:val="32"/>
        </w:rPr>
        <w:t>。</w:t>
      </w:r>
    </w:p>
    <w:p>
      <w:pPr>
        <w:widowControl/>
        <w:ind w:firstLine="420" w:firstLineChars="200"/>
        <w:jc w:val="left"/>
        <w:rPr>
          <w:rFonts w:ascii="仿宋_GB2312" w:hAnsi="仿宋" w:eastAsia="仿宋_GB2312"/>
          <w:sz w:val="32"/>
          <w:szCs w:val="32"/>
        </w:rPr>
      </w:pPr>
      <w:r>
        <w:drawing>
          <wp:inline distT="0" distB="0" distL="114300" distR="114300">
            <wp:extent cx="4572000" cy="1885315"/>
            <wp:effectExtent l="4445" t="4445" r="14605" b="1524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420" w:firstLineChars="200"/>
        <w:jc w:val="left"/>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716.05</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25.7</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65.23</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7.36</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rPr>
        <w:t>日常公用经费减少</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年财政拨款支出年初预算为</w:t>
      </w:r>
      <w:r>
        <w:rPr>
          <w:rFonts w:hint="eastAsia" w:ascii="仿宋_GB2312" w:hAnsi="仿宋_GB2312" w:eastAsia="仿宋_GB2312" w:cs="仿宋_GB2312"/>
          <w:color w:val="auto"/>
          <w:kern w:val="0"/>
          <w:sz w:val="32"/>
          <w:szCs w:val="32"/>
          <w:lang w:val="en-US" w:eastAsia="zh-CN"/>
        </w:rPr>
        <w:t>723.1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716.05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99.03</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bidi="ar"/>
        </w:rPr>
        <w:t>交通运输支出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公路水路运输</w:t>
      </w:r>
      <w:r>
        <w:rPr>
          <w:rFonts w:ascii="仿宋_GB2312" w:hAnsi="宋体" w:eastAsia="仿宋_GB2312" w:cs="仿宋_GB2312"/>
          <w:b/>
          <w:color w:val="000000"/>
          <w:kern w:val="0"/>
          <w:sz w:val="32"/>
          <w:szCs w:val="32"/>
          <w:lang w:bidi="ar"/>
        </w:rPr>
        <w:t xml:space="preserve">（款）行政运行（项）。 </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107.6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107.27</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99.7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bidi="ar"/>
        </w:rPr>
        <w:t>工资福利支出</w:t>
      </w:r>
      <w:r>
        <w:rPr>
          <w:rFonts w:hint="eastAsia" w:ascii="仿宋_GB2312" w:hAnsi="宋体" w:eastAsia="仿宋_GB2312" w:cs="仿宋_GB2312"/>
          <w:color w:val="000000"/>
          <w:kern w:val="0"/>
          <w:sz w:val="32"/>
          <w:szCs w:val="32"/>
          <w:lang w:val="en-US" w:eastAsia="zh-CN" w:bidi="ar"/>
        </w:rPr>
        <w:t>减少</w:t>
      </w:r>
      <w:r>
        <w:rPr>
          <w:rFonts w:hint="eastAsia" w:ascii="仿宋_GB2312" w:hAnsi="宋体" w:eastAsia="仿宋_GB2312" w:cs="仿宋_GB2312"/>
          <w:color w:val="000000"/>
          <w:kern w:val="0"/>
          <w:sz w:val="32"/>
          <w:szCs w:val="32"/>
          <w:lang w:bidi="ar"/>
        </w:rPr>
        <w:t>。</w:t>
      </w:r>
      <w:bookmarkStart w:id="0" w:name="_GoBack"/>
      <w:bookmarkEnd w:id="0"/>
    </w:p>
    <w:p>
      <w:pPr>
        <w:widowControl/>
        <w:ind w:firstLine="640" w:firstLineChars="200"/>
        <w:jc w:val="left"/>
        <w:rPr>
          <w:rFonts w:ascii="仿宋_GB2312" w:hAnsi="宋体" w:eastAsia="仿宋_GB2312" w:cs="仿宋_GB2312"/>
          <w:b/>
          <w:color w:val="000000"/>
          <w:kern w:val="0"/>
          <w:sz w:val="32"/>
          <w:szCs w:val="32"/>
          <w:lang w:bidi="ar"/>
        </w:rPr>
      </w:pPr>
      <w:r>
        <w:rPr>
          <w:rFonts w:hint="eastAsia" w:ascii="仿宋_GB2312" w:hAnsi="宋体" w:eastAsia="仿宋_GB2312" w:cs="仿宋_GB2312"/>
          <w:color w:val="000000"/>
          <w:kern w:val="0"/>
          <w:sz w:val="32"/>
          <w:szCs w:val="32"/>
          <w:lang w:bidi="ar"/>
        </w:rPr>
        <w:t xml:space="preserve"> </w:t>
      </w:r>
      <w:r>
        <w:rPr>
          <w:rFonts w:ascii="仿宋_GB2312" w:hAnsi="宋体" w:eastAsia="仿宋_GB2312" w:cs="仿宋_GB2312"/>
          <w:color w:val="000000"/>
          <w:kern w:val="0"/>
          <w:sz w:val="32"/>
          <w:szCs w:val="32"/>
          <w:lang w:bidi="ar"/>
        </w:rPr>
        <w:t>2.</w:t>
      </w:r>
      <w:r>
        <w:rPr>
          <w:rFonts w:hint="eastAsia" w:ascii="仿宋_GB2312" w:hAnsi="宋体" w:eastAsia="仿宋_GB2312" w:cs="仿宋_GB2312"/>
          <w:b/>
          <w:color w:val="000000"/>
          <w:kern w:val="0"/>
          <w:sz w:val="32"/>
          <w:szCs w:val="32"/>
          <w:lang w:bidi="ar"/>
        </w:rPr>
        <w:t>交通运输支出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公路水路运输</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公路养护</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105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102.04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97.18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养护经费减少</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b/>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b/>
          <w:color w:val="000000"/>
          <w:kern w:val="0"/>
          <w:sz w:val="32"/>
          <w:szCs w:val="32"/>
          <w:lang w:bidi="ar"/>
        </w:rPr>
        <w:t>交通运输支出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公路水路运输</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其他公路水路运输支出</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510.5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506.74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99.26</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工资福利支出增加</w:t>
      </w:r>
      <w:r>
        <w:rPr>
          <w:rFonts w:hint="eastAsia" w:ascii="仿宋_GB2312" w:hAnsi="宋体" w:eastAsia="仿宋_GB2312" w:cs="仿宋_GB2312"/>
          <w:color w:val="000000"/>
          <w:kern w:val="0"/>
          <w:sz w:val="32"/>
          <w:szCs w:val="32"/>
          <w:lang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574.74</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557.41</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17.32</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557.41</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eastAsia="zh-CN" w:bidi="ar"/>
        </w:rPr>
        <w:t>181.85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，津贴补贴44.86</w:t>
      </w:r>
      <w:r>
        <w:rPr>
          <w:rFonts w:hint="eastAsia" w:ascii="仿宋_GB2312" w:hAnsi="宋体" w:eastAsia="仿宋_GB2312" w:cs="仿宋_GB2312"/>
          <w:color w:val="000000"/>
          <w:kern w:val="0"/>
          <w:sz w:val="32"/>
          <w:szCs w:val="32"/>
          <w:lang w:val="en-US" w:eastAsia="zh-CN" w:bidi="ar"/>
        </w:rPr>
        <w:t>万元，奖金98.85万元，绩效工资120.8万元，机关事业单位基本养老保险缴费50.16万元，住房公积金59.22万元，生活补助1.62万元，奖励金0.05万元</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17.32</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eastAsia="zh-CN" w:bidi="ar"/>
        </w:rPr>
        <w:t>2.96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，电费0.26</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，邮电费2.49</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，公务接待费1.25</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，专用材料费0.87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，劳务费2.16</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工会经费</w:t>
      </w:r>
      <w:r>
        <w:rPr>
          <w:rFonts w:hint="eastAsia" w:ascii="仿宋_GB2312" w:hAnsi="宋体" w:eastAsia="仿宋_GB2312" w:cs="仿宋_GB2312"/>
          <w:color w:val="000000"/>
          <w:kern w:val="0"/>
          <w:sz w:val="32"/>
          <w:szCs w:val="32"/>
          <w:lang w:val="en-US" w:eastAsia="zh-CN" w:bidi="ar"/>
        </w:rPr>
        <w:t>3万元，公务用车运行维护费2.16万元，其他交通费用2.18万元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4.63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3.41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73.65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1.22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sz w:val="32"/>
          <w:szCs w:val="32"/>
        </w:rPr>
        <w:t>严格执行“三公”经费“只减不增”</w:t>
      </w:r>
      <w:r>
        <w:rPr>
          <w:rFonts w:hint="eastAsia" w:ascii="仿宋_GB2312" w:hAnsi="仿宋_GB2312" w:eastAsia="仿宋_GB2312" w:cs="仿宋_GB2312"/>
          <w:sz w:val="32"/>
          <w:szCs w:val="32"/>
          <w:lang w:val="en-US" w:eastAsia="zh-CN"/>
        </w:rPr>
        <w:t>原则，控制“三公”支出</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2.16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63.34</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1.25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36.66</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3.09</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2.16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69.9</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0.93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sz w:val="32"/>
          <w:szCs w:val="32"/>
        </w:rPr>
        <w:t>严格执行“三公”经费“只减不增”</w:t>
      </w:r>
      <w:r>
        <w:rPr>
          <w:rFonts w:hint="eastAsia" w:ascii="仿宋_GB2312" w:hAnsi="仿宋_GB2312" w:eastAsia="仿宋_GB2312" w:cs="仿宋_GB2312"/>
          <w:sz w:val="32"/>
          <w:szCs w:val="32"/>
          <w:lang w:val="en-US" w:eastAsia="zh-CN"/>
        </w:rPr>
        <w:t>原则，压缩车辆运行费</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1.54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81.17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0.29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sz w:val="32"/>
          <w:szCs w:val="32"/>
        </w:rPr>
        <w:t>控制接待次数、</w:t>
      </w:r>
      <w:r>
        <w:rPr>
          <w:rFonts w:hint="eastAsia" w:ascii="仿宋_GB2312" w:hAnsi="仿宋_GB2312" w:eastAsia="仿宋_GB2312" w:cs="仿宋_GB2312"/>
          <w:sz w:val="32"/>
          <w:szCs w:val="32"/>
          <w:lang w:val="en-US" w:eastAsia="zh-CN"/>
        </w:rPr>
        <w:t>陪餐</w:t>
      </w:r>
      <w:r>
        <w:rPr>
          <w:rFonts w:hint="eastAsia" w:ascii="仿宋_GB2312" w:hAnsi="仿宋_GB2312" w:eastAsia="仿宋_GB2312" w:cs="仿宋_GB2312"/>
          <w:sz w:val="32"/>
          <w:szCs w:val="32"/>
        </w:rPr>
        <w:t>人数</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157.2</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21.95</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楷体" w:hAnsi="楷体" w:eastAsia="楷体" w:cs="楷体"/>
          <w:sz w:val="32"/>
          <w:szCs w:val="32"/>
        </w:rPr>
      </w:pPr>
      <w:r>
        <w:rPr>
          <w:rFonts w:ascii="仿宋_GB2312" w:hAnsi="仿宋_GB2312" w:eastAsia="仿宋_GB2312" w:cs="仿宋_GB2312"/>
          <w:color w:val="000000"/>
          <w:kern w:val="0"/>
          <w:sz w:val="31"/>
          <w:szCs w:val="31"/>
          <w:lang w:bidi="ar"/>
        </w:rPr>
        <w:t xml:space="preserve"> </w:t>
      </w:r>
      <w:r>
        <w:rPr>
          <w:rFonts w:hint="eastAsia" w:ascii="仿宋_GB2312" w:hAnsi="仿宋_GB2312" w:eastAsia="仿宋_GB2312" w:cs="仿宋_GB2312"/>
          <w:color w:val="000000"/>
          <w:kern w:val="0"/>
          <w:sz w:val="31"/>
          <w:szCs w:val="31"/>
          <w:lang w:bidi="ar"/>
        </w:rPr>
        <w:t>农村公路养护</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87</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157.2</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141.3</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90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bidi="ar"/>
        </w:rPr>
        <w:t>通过项目实施</w:t>
      </w:r>
      <w:r>
        <w:rPr>
          <w:rFonts w:hint="eastAsia" w:ascii="仿宋_GB2312" w:hAnsi="仿宋_GB2312" w:eastAsia="仿宋_GB2312" w:cs="仿宋_GB2312"/>
          <w:color w:val="000000"/>
          <w:kern w:val="0"/>
          <w:sz w:val="31"/>
          <w:szCs w:val="31"/>
          <w:lang w:val="en-US" w:eastAsia="zh-CN" w:bidi="ar"/>
        </w:rPr>
        <w:t>农村公路养护和安全生命防护项目，</w:t>
      </w:r>
      <w:r>
        <w:rPr>
          <w:rFonts w:hint="eastAsia" w:ascii="仿宋_GB2312" w:hAnsi="仿宋_GB2312" w:eastAsia="仿宋_GB2312" w:cs="仿宋_GB2312"/>
          <w:color w:val="000000"/>
          <w:kern w:val="0"/>
          <w:sz w:val="31"/>
          <w:szCs w:val="31"/>
          <w:lang w:bidi="ar"/>
        </w:rPr>
        <w:t>积极开展修复性养护</w:t>
      </w:r>
      <w:r>
        <w:rPr>
          <w:rFonts w:hint="eastAsia" w:ascii="仿宋_GB2312" w:hAnsi="仿宋_GB2312" w:eastAsia="仿宋_GB2312" w:cs="仿宋_GB2312"/>
          <w:color w:val="000000"/>
          <w:kern w:val="0"/>
          <w:sz w:val="31"/>
          <w:szCs w:val="31"/>
          <w:lang w:val="en-US" w:eastAsia="zh-CN" w:bidi="ar"/>
        </w:rPr>
        <w:t>和道路安全隐患排查解决</w:t>
      </w:r>
      <w:r>
        <w:rPr>
          <w:rFonts w:hint="eastAsia" w:ascii="仿宋_GB2312" w:hAnsi="仿宋_GB2312" w:eastAsia="仿宋_GB2312" w:cs="仿宋_GB2312"/>
          <w:color w:val="000000"/>
          <w:kern w:val="0"/>
          <w:sz w:val="31"/>
          <w:szCs w:val="31"/>
          <w:lang w:bidi="ar"/>
        </w:rPr>
        <w:t>，全年维修沥青路面2106.62平方米，水泥路面1763平方米，安装防护栏877米。这项工作的实施，很好的保障了道路的通行能力，有效减少公路安全隐患，服务了群众的生产生活</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2、通过交通安全劝导专项及超限站专项经费，解决</w:t>
      </w:r>
      <w:r>
        <w:rPr>
          <w:rFonts w:hint="eastAsia" w:ascii="仿宋_GB2312" w:hAnsi="仿宋_GB2312" w:eastAsia="仿宋_GB2312" w:cs="仿宋_GB2312"/>
          <w:color w:val="000000"/>
          <w:kern w:val="0"/>
          <w:sz w:val="31"/>
          <w:szCs w:val="31"/>
          <w:lang w:bidi="ar"/>
        </w:rPr>
        <w:t>发放</w:t>
      </w:r>
      <w:r>
        <w:rPr>
          <w:rFonts w:hint="eastAsia" w:ascii="仿宋_GB2312" w:hAnsi="仿宋_GB2312" w:eastAsia="仿宋_GB2312" w:cs="仿宋_GB2312"/>
          <w:color w:val="000000"/>
          <w:kern w:val="0"/>
          <w:sz w:val="31"/>
          <w:szCs w:val="31"/>
          <w:lang w:val="en-US" w:eastAsia="zh-CN" w:bidi="ar"/>
        </w:rPr>
        <w:t>了</w:t>
      </w:r>
      <w:r>
        <w:rPr>
          <w:rFonts w:hint="eastAsia" w:ascii="仿宋_GB2312" w:hAnsi="仿宋_GB2312" w:eastAsia="仿宋_GB2312" w:cs="仿宋_GB2312"/>
          <w:color w:val="000000"/>
          <w:kern w:val="0"/>
          <w:sz w:val="31"/>
          <w:szCs w:val="31"/>
          <w:lang w:bidi="ar"/>
        </w:rPr>
        <w:t>劝导员补贴21.21万元，交安委安全宣传及日常经费16.55元，</w:t>
      </w:r>
      <w:r>
        <w:rPr>
          <w:rFonts w:hint="eastAsia" w:ascii="仿宋_GB2312" w:hAnsi="仿宋_GB2312" w:eastAsia="仿宋_GB2312" w:cs="仿宋_GB2312"/>
          <w:color w:val="000000"/>
          <w:kern w:val="0"/>
          <w:sz w:val="31"/>
          <w:szCs w:val="31"/>
          <w:lang w:val="en-US" w:eastAsia="zh-CN" w:bidi="ar"/>
        </w:rPr>
        <w:t>有效保障了交安委的正常运转及劝导员工资的及时发放；发放超限站人员工资10万元，</w:t>
      </w:r>
      <w:r>
        <w:rPr>
          <w:rFonts w:hint="eastAsia" w:ascii="仿宋_GB2312" w:hAnsi="仿宋_GB2312" w:eastAsia="仿宋_GB2312" w:cs="仿宋_GB2312"/>
          <w:color w:val="000000"/>
          <w:kern w:val="0"/>
          <w:sz w:val="31"/>
          <w:szCs w:val="31"/>
          <w:lang w:bidi="ar"/>
        </w:rPr>
        <w:t>一定程度</w:t>
      </w:r>
      <w:r>
        <w:rPr>
          <w:rFonts w:hint="eastAsia" w:ascii="仿宋_GB2312" w:hAnsi="仿宋_GB2312" w:eastAsia="仿宋_GB2312" w:cs="仿宋_GB2312"/>
          <w:color w:val="000000"/>
          <w:kern w:val="0"/>
          <w:sz w:val="31"/>
          <w:szCs w:val="31"/>
          <w:lang w:val="en-US" w:eastAsia="zh-CN" w:bidi="ar"/>
        </w:rPr>
        <w:t>缓解</w:t>
      </w:r>
      <w:r>
        <w:rPr>
          <w:rFonts w:hint="eastAsia" w:ascii="仿宋_GB2312" w:hAnsi="仿宋_GB2312" w:eastAsia="仿宋_GB2312" w:cs="仿宋_GB2312"/>
          <w:color w:val="000000"/>
          <w:kern w:val="0"/>
          <w:sz w:val="31"/>
          <w:szCs w:val="31"/>
          <w:lang w:bidi="ar"/>
        </w:rPr>
        <w:t>超限站人员工资</w:t>
      </w:r>
      <w:r>
        <w:rPr>
          <w:rFonts w:hint="eastAsia" w:ascii="仿宋_GB2312" w:hAnsi="仿宋_GB2312" w:eastAsia="仿宋_GB2312" w:cs="仿宋_GB2312"/>
          <w:color w:val="000000"/>
          <w:kern w:val="0"/>
          <w:sz w:val="31"/>
          <w:szCs w:val="31"/>
          <w:lang w:val="en-US" w:eastAsia="zh-CN" w:bidi="ar"/>
        </w:rPr>
        <w:t>问题</w:t>
      </w:r>
      <w:r>
        <w:rPr>
          <w:rFonts w:hint="eastAsia" w:ascii="仿宋_GB2312" w:hAnsi="仿宋_GB2312" w:eastAsia="仿宋_GB2312" w:cs="仿宋_GB2312"/>
          <w:color w:val="000000"/>
          <w:kern w:val="0"/>
          <w:sz w:val="31"/>
          <w:szCs w:val="31"/>
          <w:lang w:bidi="ar"/>
        </w:rPr>
        <w:t>及日常运行</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val="en-US" w:eastAsia="zh-CN" w:bidi="ar"/>
        </w:rPr>
        <w:t>劝导员工资拨付至镇办后未及时拨付到位，导致年终被财政收回部分资金</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val="en-US" w:eastAsia="zh-CN" w:bidi="ar"/>
        </w:rPr>
        <w:t>及时进行资金拨付，加快劝导员工资发放进度</w:t>
      </w:r>
      <w:r>
        <w:rPr>
          <w:rFonts w:hint="eastAsia" w:ascii="仿宋_GB2312" w:hAnsi="仿宋_GB2312" w:eastAsia="仿宋_GB2312" w:cs="仿宋_GB2312"/>
          <w:color w:val="000000"/>
          <w:kern w:val="0"/>
          <w:sz w:val="31"/>
          <w:szCs w:val="31"/>
          <w:lang w:bidi="ar"/>
        </w:rPr>
        <w:t>。</w:t>
      </w:r>
    </w:p>
    <w:p>
      <w:pPr>
        <w:rPr>
          <w:rFonts w:ascii="楷体" w:hAnsi="楷体" w:eastAsia="楷体" w:cs="楷体"/>
          <w:sz w:val="32"/>
          <w:szCs w:val="32"/>
        </w:rPr>
      </w:pPr>
    </w:p>
    <w:p>
      <w:pPr>
        <w:widowControl/>
        <w:jc w:val="left"/>
        <w:rPr>
          <w:rFonts w:hint="eastAsia"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95.1pt;width:570.15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r>
        <w:rPr>
          <w:rFonts w:hint="eastAsia" w:ascii="楷体" w:hAnsi="楷体" w:eastAsia="楷体" w:cs="楷体"/>
          <w:sz w:val="32"/>
          <w:szCs w:val="32"/>
        </w:rPr>
        <w:object>
          <v:shape id="_x0000_i1026" o:spt="75" type="#_x0000_t75" style="height:567.05pt;width:462.75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360.15pt;width:631.5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8" o:spt="75" type="#_x0000_t75" style="height:387.1pt;width:647.4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339pt;width:645pt;" o:ole="t" filled="f" o:preferrelative="t" stroked="f" coordsize="21600,21600">
            <v:path/>
            <v:fill on="f" focussize="0,0"/>
            <v:stroke on="f"/>
            <v:imagedata r:id="rId22" o:title=""/>
            <o:lock v:ext="edit" aspectratio="t"/>
            <w10:wrap type="none"/>
            <w10:anchorlock/>
          </v:shape>
          <o:OLEObject Type="Embed" ProgID="Excel.Sheet.8" ShapeID="_x0000_i1029" DrawAspect="Content" ObjectID="_1468075729" r:id="rId21">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13.6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13.6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与</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9.6</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val="en-US" w:eastAsia="zh-CN" w:bidi="ar"/>
        </w:rPr>
        <w:t>9.6</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9618C"/>
    <w:multiLevelType w:val="singleLevel"/>
    <w:tmpl w:val="CCF961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2E704EB"/>
    <w:rsid w:val="04EB7B83"/>
    <w:rsid w:val="0A8A23D3"/>
    <w:rsid w:val="0F3F302E"/>
    <w:rsid w:val="0FF22311"/>
    <w:rsid w:val="10BB0249"/>
    <w:rsid w:val="125E2600"/>
    <w:rsid w:val="132E46A0"/>
    <w:rsid w:val="14411117"/>
    <w:rsid w:val="1586116E"/>
    <w:rsid w:val="1811062A"/>
    <w:rsid w:val="18BB4AD7"/>
    <w:rsid w:val="1976257A"/>
    <w:rsid w:val="1A2D1B8C"/>
    <w:rsid w:val="1B4A3FDA"/>
    <w:rsid w:val="1B524C98"/>
    <w:rsid w:val="1C5E2F73"/>
    <w:rsid w:val="1D6E0C0D"/>
    <w:rsid w:val="20A00FF3"/>
    <w:rsid w:val="221C15BB"/>
    <w:rsid w:val="22802EE5"/>
    <w:rsid w:val="23C57E84"/>
    <w:rsid w:val="2893536C"/>
    <w:rsid w:val="29785A6B"/>
    <w:rsid w:val="29E61BBC"/>
    <w:rsid w:val="2CE003E5"/>
    <w:rsid w:val="2D1F3974"/>
    <w:rsid w:val="2DB52EF2"/>
    <w:rsid w:val="31AA6038"/>
    <w:rsid w:val="33887EE3"/>
    <w:rsid w:val="34677C61"/>
    <w:rsid w:val="34CE0095"/>
    <w:rsid w:val="34E67CF4"/>
    <w:rsid w:val="36A57500"/>
    <w:rsid w:val="3915478F"/>
    <w:rsid w:val="3B121AD1"/>
    <w:rsid w:val="3C7E44CE"/>
    <w:rsid w:val="3CFD0D2E"/>
    <w:rsid w:val="41603979"/>
    <w:rsid w:val="419E0222"/>
    <w:rsid w:val="41CF436B"/>
    <w:rsid w:val="4619368A"/>
    <w:rsid w:val="46844407"/>
    <w:rsid w:val="471F2499"/>
    <w:rsid w:val="4B00218C"/>
    <w:rsid w:val="4D6E0FDF"/>
    <w:rsid w:val="4E6B7701"/>
    <w:rsid w:val="4EE4307A"/>
    <w:rsid w:val="50FB3BFB"/>
    <w:rsid w:val="5153143F"/>
    <w:rsid w:val="54F12DEE"/>
    <w:rsid w:val="55E207CC"/>
    <w:rsid w:val="57D14088"/>
    <w:rsid w:val="59754B2A"/>
    <w:rsid w:val="5B8D564A"/>
    <w:rsid w:val="5FA400E8"/>
    <w:rsid w:val="613966EE"/>
    <w:rsid w:val="65074FBA"/>
    <w:rsid w:val="65BA02A1"/>
    <w:rsid w:val="67A83944"/>
    <w:rsid w:val="67F145B8"/>
    <w:rsid w:val="69512523"/>
    <w:rsid w:val="71086DB5"/>
    <w:rsid w:val="7284192A"/>
    <w:rsid w:val="73B56604"/>
    <w:rsid w:val="755A5A67"/>
    <w:rsid w:val="75C31473"/>
    <w:rsid w:val="7C3E5E46"/>
    <w:rsid w:val="7C5B5A63"/>
    <w:rsid w:val="7D5767A4"/>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6"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AppData\Local\Temp\wps.Z34004\Workbook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AppData\Local\Temp\wps.Z34004\Workbook2.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人员情况表</a:t>
            </a:r>
          </a:p>
        </c:rich>
      </c:tx>
      <c:layout/>
      <c:overlay val="0"/>
      <c:spPr>
        <a:noFill/>
        <a:ln>
          <a:noFill/>
        </a:ln>
        <a:effectLst/>
      </c:spPr>
    </c:title>
    <c:autoTitleDeleted val="0"/>
    <c:plotArea>
      <c:layout/>
      <c:barChart>
        <c:barDir val="col"/>
        <c:grouping val="clustered"/>
        <c:varyColors val="0"/>
        <c:ser>
          <c:idx val="0"/>
          <c:order val="0"/>
          <c:tx>
            <c:strRef>
              <c:f>[工作簿6]Sheet1!$O$14</c:f>
              <c:strCache>
                <c:ptCount val="1"/>
                <c:pt idx="0">
                  <c:v>行政</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[工作簿6]Sheet1!$P$13:$Q$13</c:f>
              <c:strCache>
                <c:ptCount val="2"/>
                <c:pt idx="0">
                  <c:v>编制</c:v>
                </c:pt>
                <c:pt idx="1">
                  <c:v>实有</c:v>
                </c:pt>
              </c:strCache>
            </c:strRef>
          </c:cat>
          <c:val>
            <c:numRef>
              <c:f>[工作簿6]Sheet1!$P$14:$Q$14</c:f>
              <c:numCache>
                <c:formatCode>General</c:formatCode>
                <c:ptCount val="2"/>
                <c:pt idx="0">
                  <c:v>5</c:v>
                </c:pt>
                <c:pt idx="1">
                  <c:v>6</c:v>
                </c:pt>
              </c:numCache>
            </c:numRef>
          </c:val>
        </c:ser>
        <c:ser>
          <c:idx val="1"/>
          <c:order val="1"/>
          <c:tx>
            <c:strRef>
              <c:f>[工作簿6]Sheet1!$O$15</c:f>
              <c:strCache>
                <c:ptCount val="1"/>
                <c:pt idx="0">
                  <c:v>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[工作簿6]Sheet1!$P$13:$Q$13</c:f>
              <c:strCache>
                <c:ptCount val="2"/>
                <c:pt idx="0">
                  <c:v>编制</c:v>
                </c:pt>
                <c:pt idx="1">
                  <c:v>实有</c:v>
                </c:pt>
              </c:strCache>
            </c:strRef>
          </c:cat>
          <c:val>
            <c:numRef>
              <c:f>[工作簿6]Sheet1!$P$15:$Q$15</c:f>
              <c:numCache>
                <c:formatCode>General</c:formatCode>
                <c:ptCount val="2"/>
                <c:pt idx="0">
                  <c:v>54</c:v>
                </c:pt>
                <c:pt idx="1">
                  <c:v>38</c:v>
                </c:pt>
              </c:numCache>
            </c:numRef>
          </c:val>
        </c:ser>
        <c:dLbls>
          <c:showLegendKey val="0"/>
          <c:showVal val="1"/>
          <c:showCatName val="0"/>
          <c:showSerName val="0"/>
          <c:showPercent val="0"/>
          <c:showBubbleSize val="0"/>
        </c:dLbls>
        <c:gapWidth val="219"/>
        <c:overlap val="-27"/>
        <c:axId val="912922808"/>
        <c:axId val="978389913"/>
      </c:barChart>
      <c:catAx>
        <c:axId val="912922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389913"/>
        <c:crosses val="autoZero"/>
        <c:auto val="1"/>
        <c:lblAlgn val="ctr"/>
        <c:lblOffset val="100"/>
        <c:noMultiLvlLbl val="0"/>
      </c:catAx>
      <c:valAx>
        <c:axId val="9783899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922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2018年收入</c:v>
                </c:pt>
                <c:pt idx="1">
                  <c:v>2019年收入</c:v>
                </c:pt>
              </c:strCache>
            </c:strRef>
          </c:cat>
          <c:val>
            <c:numRef>
              <c:f>Sheet1!$B$2:$B$3</c:f>
              <c:numCache>
                <c:formatCode>General</c:formatCode>
                <c:ptCount val="2"/>
                <c:pt idx="0">
                  <c:v>2451.89</c:v>
                </c:pt>
                <c:pt idx="1">
                  <c:v>2856.19</c:v>
                </c:pt>
              </c:numCache>
            </c:numRef>
          </c:val>
        </c:ser>
        <c:dLbls>
          <c:showLegendKey val="0"/>
          <c:showVal val="0"/>
          <c:showCatName val="0"/>
          <c:showSerName val="0"/>
          <c:showPercent val="0"/>
          <c:showBubbleSize val="0"/>
        </c:dLbls>
        <c:gapWidth val="150"/>
        <c:overlap val="100"/>
        <c:axId val="166818944"/>
        <c:axId val="166820480"/>
      </c:barChart>
      <c:catAx>
        <c:axId val="16681894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820480"/>
        <c:crosses val="autoZero"/>
        <c:auto val="1"/>
        <c:lblAlgn val="ctr"/>
        <c:lblOffset val="100"/>
        <c:noMultiLvlLbl val="0"/>
      </c:catAx>
      <c:valAx>
        <c:axId val="16682048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8189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Sheet1!$A$10:$A$11</c:f>
              <c:strCache>
                <c:ptCount val="2"/>
                <c:pt idx="0">
                  <c:v>2018年支出</c:v>
                </c:pt>
                <c:pt idx="1">
                  <c:v>2019年支出</c:v>
                </c:pt>
              </c:strCache>
            </c:strRef>
          </c:cat>
          <c:val>
            <c:numRef>
              <c:f>Sheet1!$B$10:$B$11</c:f>
              <c:numCache>
                <c:formatCode>General</c:formatCode>
                <c:ptCount val="2"/>
                <c:pt idx="0">
                  <c:v>2363</c:v>
                </c:pt>
                <c:pt idx="1">
                  <c:v>2785.86</c:v>
                </c:pt>
              </c:numCache>
            </c:numRef>
          </c:val>
        </c:ser>
        <c:dLbls>
          <c:showLegendKey val="0"/>
          <c:showVal val="0"/>
          <c:showCatName val="0"/>
          <c:showSerName val="0"/>
          <c:showPercent val="0"/>
          <c:showBubbleSize val="0"/>
        </c:dLbls>
        <c:gapWidth val="150"/>
        <c:overlap val="100"/>
        <c:axId val="166818944"/>
        <c:axId val="166820480"/>
      </c:barChart>
      <c:catAx>
        <c:axId val="16681894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820480"/>
        <c:crosses val="autoZero"/>
        <c:auto val="1"/>
        <c:lblAlgn val="ctr"/>
        <c:lblOffset val="100"/>
        <c:noMultiLvlLbl val="0"/>
      </c:catAx>
      <c:valAx>
        <c:axId val="16682048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8189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收入决算情况表</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135284762659071"/>
                  <c:y val="-0.037736276006266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1812540436848"/>
                  <c:y val="0.085720514117190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[工作簿1]Sheet1!$C$36:$C$39</c:f>
              <c:strCache>
                <c:ptCount val="4"/>
                <c:pt idx="0">
                  <c:v>财政拨款收入</c:v>
                </c:pt>
                <c:pt idx="1">
                  <c:v>事业收入</c:v>
                </c:pt>
                <c:pt idx="2">
                  <c:v>经营收入</c:v>
                </c:pt>
                <c:pt idx="3">
                  <c:v>其他收入</c:v>
                </c:pt>
              </c:strCache>
            </c:strRef>
          </c:cat>
          <c:val>
            <c:numRef>
              <c:f>[工作簿1]Sheet1!$D$36:$D$39</c:f>
              <c:numCache>
                <c:formatCode>General</c:formatCode>
                <c:ptCount val="4"/>
                <c:pt idx="0">
                  <c:v>716.05</c:v>
                </c:pt>
                <c:pt idx="1">
                  <c:v>0</c:v>
                </c:pt>
                <c:pt idx="2">
                  <c:v>0</c:v>
                </c:pt>
                <c:pt idx="3">
                  <c:v>2140.14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[工作簿1]Sheet1!$C$42:$C$43</c:f>
              <c:strCache>
                <c:ptCount val="2"/>
                <c:pt idx="0">
                  <c:v>基本支出</c:v>
                </c:pt>
                <c:pt idx="1">
                  <c:v>项目支出</c:v>
                </c:pt>
              </c:strCache>
            </c:strRef>
          </c:cat>
          <c:val>
            <c:numRef>
              <c:f>[工作簿1]Sheet1!$D$42:$D$43</c:f>
              <c:numCache>
                <c:formatCode>General</c:formatCode>
                <c:ptCount val="2"/>
                <c:pt idx="0">
                  <c:v>576.56</c:v>
                </c:pt>
                <c:pt idx="1">
                  <c:v>2209.3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财政拨款收入决算情况表</a:t>
            </a:r>
          </a:p>
        </c:rich>
      </c:tx>
      <c:layout>
        <c:manualLayout>
          <c:xMode val="edge"/>
          <c:yMode val="edge"/>
          <c:x val="0.284513888888889"/>
          <c:y val="0.0532165712361064"/>
        </c:manualLayout>
      </c:layout>
      <c:overlay val="0"/>
      <c:spPr>
        <a:noFill/>
        <a:ln>
          <a:noFill/>
        </a:ln>
        <a:effectLst/>
      </c:spPr>
    </c:title>
    <c:autoTitleDeleted val="0"/>
    <c:plotArea>
      <c:layout/>
      <c:barChart>
        <c:barDir val="bar"/>
        <c:grouping val="stacked"/>
        <c:varyColors val="0"/>
        <c:ser>
          <c:idx val="0"/>
          <c:order val="0"/>
          <c:tx>
            <c:strRef>
              <c:f>[Workbook2.xlsx]Sheet1!$B$15</c:f>
              <c:strCache>
                <c:ptCount val="1"/>
                <c:pt idx="0">
                  <c:v>系列 1</c:v>
                </c:pt>
              </c:strCache>
            </c:strRef>
          </c:tx>
          <c:spPr>
            <a:solidFill>
              <a:schemeClr val="accent1"/>
            </a:solidFill>
            <a:ln>
              <a:noFill/>
            </a:ln>
            <a:effectLst/>
          </c:spPr>
          <c:invertIfNegative val="0"/>
          <c:dLbls>
            <c:delete val="1"/>
          </c:dLbls>
          <c:cat>
            <c:strRef>
              <c:f>[Workbook2.xlsx]Sheet1!$A$16:$A$17</c:f>
              <c:strCache>
                <c:ptCount val="2"/>
                <c:pt idx="0">
                  <c:v>2018年财政拨款收入</c:v>
                </c:pt>
                <c:pt idx="1">
                  <c:v>2019年财政拨款收入</c:v>
                </c:pt>
              </c:strCache>
            </c:strRef>
          </c:cat>
          <c:val>
            <c:numRef>
              <c:f>[Workbook2.xlsx]Sheet1!$B$16:$B$17</c:f>
              <c:numCache>
                <c:formatCode>General</c:formatCode>
                <c:ptCount val="2"/>
                <c:pt idx="0">
                  <c:v>781.28</c:v>
                </c:pt>
                <c:pt idx="1">
                  <c:v>716.05</c:v>
                </c:pt>
              </c:numCache>
            </c:numRef>
          </c:val>
        </c:ser>
        <c:dLbls>
          <c:showLegendKey val="0"/>
          <c:showVal val="0"/>
          <c:showCatName val="0"/>
          <c:showSerName val="0"/>
          <c:showPercent val="0"/>
          <c:showBubbleSize val="0"/>
        </c:dLbls>
        <c:gapWidth val="150"/>
        <c:overlap val="100"/>
        <c:axId val="734935625"/>
        <c:axId val="847630450"/>
      </c:barChart>
      <c:catAx>
        <c:axId val="73493562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630450"/>
        <c:crosses val="autoZero"/>
        <c:auto val="1"/>
        <c:lblAlgn val="ctr"/>
        <c:lblOffset val="100"/>
        <c:noMultiLvlLbl val="0"/>
      </c:catAx>
      <c:valAx>
        <c:axId val="84763045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9356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财政拨款支出决算情况表</a:t>
            </a:r>
          </a:p>
        </c:rich>
      </c:tx>
      <c:layout>
        <c:manualLayout>
          <c:xMode val="edge"/>
          <c:yMode val="edge"/>
          <c:x val="0.305069444444445"/>
          <c:y val="0.0367185453388721"/>
        </c:manualLayout>
      </c:layout>
      <c:overlay val="0"/>
      <c:spPr>
        <a:noFill/>
        <a:ln>
          <a:noFill/>
        </a:ln>
        <a:effectLst/>
      </c:spPr>
    </c:title>
    <c:autoTitleDeleted val="0"/>
    <c:plotArea>
      <c:layout/>
      <c:barChart>
        <c:barDir val="bar"/>
        <c:grouping val="stacked"/>
        <c:varyColors val="0"/>
        <c:ser>
          <c:idx val="0"/>
          <c:order val="0"/>
          <c:tx>
            <c:strRef>
              <c:f>[Workbook2.xlsx]Sheet1!$B$15</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[Workbook2.xlsx]Sheet1!$A$16:$A$17</c:f>
              <c:strCache>
                <c:ptCount val="2"/>
                <c:pt idx="0">
                  <c:v>2018年财政拨款收入</c:v>
                </c:pt>
                <c:pt idx="1">
                  <c:v>2019年财政拨款收入</c:v>
                </c:pt>
              </c:strCache>
            </c:strRef>
          </c:cat>
          <c:val>
            <c:numRef>
              <c:f>[Workbook2.xlsx]Sheet1!$B$16:$B$17</c:f>
              <c:numCache>
                <c:formatCode>General</c:formatCode>
                <c:ptCount val="2"/>
                <c:pt idx="0">
                  <c:v>781.28</c:v>
                </c:pt>
                <c:pt idx="1">
                  <c:v>716.05</c:v>
                </c:pt>
              </c:numCache>
            </c:numRef>
          </c:val>
        </c:ser>
        <c:dLbls>
          <c:showLegendKey val="0"/>
          <c:showVal val="1"/>
          <c:showCatName val="0"/>
          <c:showSerName val="0"/>
          <c:showPercent val="0"/>
          <c:showBubbleSize val="0"/>
        </c:dLbls>
        <c:gapWidth val="150"/>
        <c:overlap val="100"/>
        <c:axId val="734935625"/>
        <c:axId val="847630450"/>
      </c:barChart>
      <c:catAx>
        <c:axId val="73493562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630450"/>
        <c:crosses val="autoZero"/>
        <c:auto val="1"/>
        <c:lblAlgn val="ctr"/>
        <c:lblOffset val="100"/>
        <c:noMultiLvlLbl val="0"/>
      </c:catAx>
      <c:valAx>
        <c:axId val="84763045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9356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财政拨款支出决算总体情况表</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[工作簿1]Sheet1!$D$58:$D$62</c:f>
              <c:strCache>
                <c:ptCount val="5"/>
                <c:pt idx="0">
                  <c:v>2019 年财政拨款支出</c:v>
                </c:pt>
                <c:pt idx="1">
                  <c:v>2019年总支出</c:v>
                </c:pt>
                <c:pt idx="3">
                  <c:v>2018 年财政拨款支出</c:v>
                </c:pt>
                <c:pt idx="4">
                  <c:v>2018年总支出</c:v>
                </c:pt>
              </c:strCache>
            </c:strRef>
          </c:cat>
          <c:val>
            <c:numRef>
              <c:f>[工作簿1]Sheet1!$E$58:$E$62</c:f>
              <c:numCache>
                <c:formatCode>General</c:formatCode>
                <c:ptCount val="5"/>
                <c:pt idx="0">
                  <c:v>716.05</c:v>
                </c:pt>
                <c:pt idx="1">
                  <c:v>2785.86</c:v>
                </c:pt>
                <c:pt idx="3">
                  <c:v>781.28</c:v>
                </c:pt>
                <c:pt idx="4">
                  <c:v>2363</c:v>
                </c:pt>
              </c:numCache>
            </c:numRef>
          </c:val>
        </c:ser>
        <c:dLbls>
          <c:showLegendKey val="0"/>
          <c:showVal val="0"/>
          <c:showCatName val="0"/>
          <c:showSerName val="0"/>
          <c:showPercent val="0"/>
          <c:showBubbleSize val="0"/>
        </c:dLbls>
        <c:gapWidth val="219"/>
        <c:overlap val="0"/>
        <c:axId val="799104850"/>
        <c:axId val="65849303"/>
      </c:barChart>
      <c:catAx>
        <c:axId val="799104850"/>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849303"/>
        <c:crosses val="autoZero"/>
        <c:auto val="1"/>
        <c:lblAlgn val="ctr"/>
        <c:lblOffset val="100"/>
        <c:noMultiLvlLbl val="0"/>
      </c:catAx>
      <c:valAx>
        <c:axId val="658493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91048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167</TotalTime>
  <ScaleCrop>false</ScaleCrop>
  <LinksUpToDate>false</LinksUpToDate>
  <CharactersWithSpaces>8778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ʚ AlwaysOnline ɞ</cp:lastModifiedBy>
  <cp:lastPrinted>2020-11-04T03:16:50Z</cp:lastPrinted>
  <dcterms:modified xsi:type="dcterms:W3CDTF">2020-11-04T06:56:29Z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