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杨陵区应急管理局2019年部门决算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九、国有资本经营财政拨款收入支出情况说明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spacing w:line="560" w:lineRule="exact"/>
        <w:ind w:firstLine="645"/>
        <w:rPr>
          <w:rFonts w:ascii="仿宋_GB2312" w:eastAsia="仿宋_GB2312"/>
          <w:sz w:val="32"/>
          <w:szCs w:val="32"/>
        </w:rPr>
      </w:pPr>
      <w:r>
        <w:rPr>
          <w:rFonts w:hint="eastAsia" w:ascii="仿宋_GB2312" w:eastAsia="仿宋_GB2312"/>
          <w:sz w:val="32"/>
          <w:szCs w:val="32"/>
        </w:rPr>
        <w:t xml:space="preserve"> 区应急管理局贯彻落实党中央、省委、示范区党工委和区委关于应急</w:t>
      </w:r>
      <w:r>
        <w:rPr>
          <w:rFonts w:hint="eastAsia" w:eastAsia="仿宋_GB2312"/>
          <w:sz w:val="32"/>
          <w:szCs w:val="32"/>
        </w:rPr>
        <w:t>管理</w:t>
      </w:r>
      <w:r>
        <w:rPr>
          <w:rFonts w:hint="eastAsia" w:ascii="仿宋_GB2312" w:eastAsia="仿宋_GB2312"/>
          <w:sz w:val="32"/>
          <w:szCs w:val="32"/>
        </w:rPr>
        <w:t>工作的方针政策和决策部署，在履行职责过程中坚持和加强党对应急管理工作的集中统一领导。主要职责是：</w:t>
      </w:r>
    </w:p>
    <w:p>
      <w:pPr>
        <w:spacing w:line="560" w:lineRule="exact"/>
        <w:ind w:firstLine="645"/>
        <w:rPr>
          <w:rFonts w:ascii="仿宋_GB2312" w:eastAsia="仿宋_GB2312"/>
          <w:sz w:val="32"/>
          <w:szCs w:val="32"/>
        </w:rPr>
      </w:pPr>
      <w:r>
        <w:rPr>
          <w:rFonts w:hint="eastAsia" w:ascii="仿宋_GB2312" w:eastAsia="仿宋_GB2312"/>
          <w:sz w:val="32"/>
          <w:szCs w:val="32"/>
        </w:rPr>
        <w:t>（一）贯彻国家和地方政府应急管理、安全生产、防灾减灾方面的法律法规和政策规定，组织编制全区应急体系建设、安全生产和综合防灾减灾规划，并监督实施。</w:t>
      </w:r>
    </w:p>
    <w:p>
      <w:pPr>
        <w:spacing w:line="560" w:lineRule="exact"/>
        <w:ind w:firstLine="645"/>
        <w:rPr>
          <w:rFonts w:ascii="仿宋_GB2312" w:eastAsia="仿宋_GB2312"/>
          <w:sz w:val="32"/>
          <w:szCs w:val="32"/>
        </w:rPr>
      </w:pPr>
      <w:r>
        <w:rPr>
          <w:rFonts w:hint="eastAsia" w:ascii="仿宋_GB2312" w:eastAsia="仿宋_GB2312"/>
          <w:sz w:val="32"/>
          <w:szCs w:val="32"/>
        </w:rPr>
        <w:t>（二）负责全区应急管理工作，指导各部门应对安全生产类、自然灾害类等突发事件和综合防灾减灾救灾工作。</w:t>
      </w:r>
    </w:p>
    <w:p>
      <w:pPr>
        <w:spacing w:line="560" w:lineRule="exact"/>
        <w:ind w:firstLine="645"/>
        <w:rPr>
          <w:rFonts w:ascii="仿宋_GB2312" w:eastAsia="仿宋_GB2312"/>
          <w:sz w:val="32"/>
          <w:szCs w:val="32"/>
        </w:rPr>
      </w:pPr>
      <w:r>
        <w:rPr>
          <w:rFonts w:hint="eastAsia" w:ascii="仿宋_GB2312" w:eastAsia="仿宋_GB2312"/>
          <w:sz w:val="32"/>
          <w:szCs w:val="32"/>
        </w:rPr>
        <w:t>（三）负责安全生产综合监督管理和危险化学品行业、烟花爆竹安全生产监督管理工作。</w:t>
      </w:r>
    </w:p>
    <w:p>
      <w:pPr>
        <w:spacing w:line="560" w:lineRule="exact"/>
        <w:ind w:firstLine="645"/>
        <w:rPr>
          <w:rFonts w:ascii="仿宋_GB2312" w:eastAsia="仿宋_GB2312"/>
          <w:sz w:val="32"/>
          <w:szCs w:val="32"/>
        </w:rPr>
      </w:pPr>
      <w:r>
        <w:rPr>
          <w:rFonts w:hint="eastAsia" w:ascii="仿宋_GB2312" w:eastAsia="仿宋_GB2312"/>
          <w:sz w:val="32"/>
          <w:szCs w:val="32"/>
        </w:rPr>
        <w:t>（四）负责全区应急预案体系建设，贯彻落实事故灾难和自然灾害分级应对制度，组织编制区级总体应急预案和安全生产类、自然灾害类专项预案，指导镇政府（街道办）应急预案编制，综合协调应急预案衔接工作，组织开展预案演练，推动应急避难设施建设。</w:t>
      </w:r>
    </w:p>
    <w:p>
      <w:pPr>
        <w:spacing w:line="560" w:lineRule="exact"/>
        <w:ind w:firstLine="645"/>
        <w:rPr>
          <w:rFonts w:ascii="仿宋_GB2312" w:eastAsia="仿宋_GB2312"/>
          <w:sz w:val="32"/>
          <w:szCs w:val="32"/>
        </w:rPr>
      </w:pPr>
      <w:r>
        <w:rPr>
          <w:rFonts w:hint="eastAsia" w:ascii="仿宋_GB2312" w:eastAsia="仿宋_GB2312"/>
          <w:sz w:val="32"/>
          <w:szCs w:val="32"/>
        </w:rPr>
        <w:t>（五）牵头建立全区统一的应急管理信息系统，建立监测预警和灾情报告制度，健全自然灾害信息资源获取和共享机制，依法统一发布灾情。</w:t>
      </w:r>
    </w:p>
    <w:p>
      <w:pPr>
        <w:spacing w:line="560" w:lineRule="exact"/>
        <w:ind w:firstLine="645"/>
        <w:rPr>
          <w:rFonts w:ascii="仿宋_GB2312" w:eastAsia="仿宋_GB2312"/>
          <w:sz w:val="32"/>
          <w:szCs w:val="32"/>
        </w:rPr>
      </w:pPr>
      <w:r>
        <w:rPr>
          <w:rFonts w:hint="eastAsia" w:ascii="仿宋_GB2312" w:eastAsia="仿宋_GB2312"/>
          <w:sz w:val="32"/>
          <w:szCs w:val="32"/>
        </w:rPr>
        <w:t>（六）组织指导协调全区安全生产类、自然灾害类等突发事件应急救援，承担区应对重大灾害指挥部工作，综合研判突发事件发展态势并提出应对建议，协助区委、区政府指定的负责同志组织重大灾害应急处置工作。</w:t>
      </w:r>
    </w:p>
    <w:p>
      <w:pPr>
        <w:spacing w:line="560" w:lineRule="exact"/>
        <w:ind w:firstLine="645"/>
        <w:rPr>
          <w:rFonts w:ascii="仿宋_GB2312" w:eastAsia="仿宋_GB2312"/>
          <w:sz w:val="32"/>
          <w:szCs w:val="32"/>
        </w:rPr>
      </w:pPr>
      <w:r>
        <w:rPr>
          <w:rFonts w:hint="eastAsia" w:ascii="仿宋_GB2312" w:eastAsia="仿宋_GB2312"/>
          <w:sz w:val="32"/>
          <w:szCs w:val="32"/>
        </w:rPr>
        <w:t>（七）统一协调指挥全区各类应急专业队伍，建立应急协调联动机制，推进指挥平合对接，衔接解放军和武警部队参与应急救援工作。</w:t>
      </w:r>
    </w:p>
    <w:p>
      <w:pPr>
        <w:spacing w:line="560" w:lineRule="exact"/>
        <w:ind w:firstLine="645"/>
        <w:rPr>
          <w:rFonts w:ascii="仿宋_GB2312" w:eastAsia="仿宋_GB2312"/>
          <w:sz w:val="32"/>
          <w:szCs w:val="32"/>
        </w:rPr>
      </w:pPr>
      <w:r>
        <w:rPr>
          <w:rFonts w:hint="eastAsia" w:ascii="仿宋_GB2312" w:eastAsia="仿宋_GB2312"/>
          <w:sz w:val="32"/>
          <w:szCs w:val="32"/>
        </w:rPr>
        <w:t>（八）统筹全区应急救援力量建设，负责消防、森林和草原火灾扑救、抗洪抢险、地震和地质灾害救援、生产安全事故救援等专业应急救授力量建设，指导社会应急救援力量建设。</w:t>
      </w:r>
    </w:p>
    <w:p>
      <w:pPr>
        <w:spacing w:line="560" w:lineRule="exact"/>
        <w:ind w:firstLine="645"/>
        <w:rPr>
          <w:rFonts w:ascii="仿宋_GB2312" w:eastAsia="仿宋_GB2312"/>
          <w:sz w:val="32"/>
          <w:szCs w:val="32"/>
        </w:rPr>
      </w:pPr>
      <w:r>
        <w:rPr>
          <w:rFonts w:hint="eastAsia" w:ascii="仿宋_GB2312" w:eastAsia="仿宋_GB2312"/>
          <w:sz w:val="32"/>
          <w:szCs w:val="32"/>
        </w:rPr>
        <w:t>（九）依法负责全区消防管理工作，指导消防监督、火灾预防、火灾扑救等工作。</w:t>
      </w:r>
    </w:p>
    <w:p>
      <w:pPr>
        <w:spacing w:line="560" w:lineRule="exact"/>
        <w:ind w:firstLine="645"/>
        <w:rPr>
          <w:rFonts w:ascii="仿宋_GB2312" w:eastAsia="仿宋_GB2312"/>
          <w:sz w:val="32"/>
          <w:szCs w:val="32"/>
        </w:rPr>
      </w:pPr>
      <w:r>
        <w:rPr>
          <w:rFonts w:hint="eastAsia" w:ascii="仿宋_GB2312" w:eastAsia="仿宋_GB2312"/>
          <w:sz w:val="32"/>
          <w:szCs w:val="32"/>
        </w:rPr>
        <w:t>（十）指导协调全区森林和草原火灾、水旱灾害、地震和地质灾害等防治工作，负责自然灾害综合监测预警工作，指导开展自然灾害综合风险评估工作。</w:t>
      </w:r>
    </w:p>
    <w:p>
      <w:pPr>
        <w:spacing w:line="560" w:lineRule="exact"/>
        <w:ind w:firstLine="645"/>
        <w:rPr>
          <w:rFonts w:ascii="仿宋_GB2312" w:eastAsia="仿宋_GB2312"/>
          <w:sz w:val="32"/>
          <w:szCs w:val="32"/>
        </w:rPr>
      </w:pPr>
      <w:r>
        <w:rPr>
          <w:rFonts w:hint="eastAsia" w:ascii="仿宋_GB2312" w:eastAsia="仿宋_GB2312"/>
          <w:sz w:val="32"/>
          <w:szCs w:val="32"/>
        </w:rPr>
        <w:t>（十一）组织协调灾害救助工作，组织指导灾情核查、损失评估、救灾捐赠工作，管理、分配中省、示范区、区政府救灾款物并监督使用。</w:t>
      </w:r>
    </w:p>
    <w:p>
      <w:pPr>
        <w:spacing w:line="560" w:lineRule="exact"/>
        <w:ind w:firstLine="645"/>
        <w:rPr>
          <w:rFonts w:ascii="仿宋_GB2312" w:eastAsia="仿宋_GB2312"/>
          <w:sz w:val="32"/>
          <w:szCs w:val="32"/>
        </w:rPr>
      </w:pPr>
      <w:r>
        <w:rPr>
          <w:rFonts w:hint="eastAsia" w:ascii="仿宋_GB2312" w:eastAsia="仿宋_GB2312"/>
          <w:sz w:val="32"/>
          <w:szCs w:val="32"/>
        </w:rPr>
        <w:t>（十二）依法行使全区安全生产综合监督管理职权，指导协调、监督检查区级有关部门和镇政府（街道办）安全生产工作，组织开展安全生产巡查、考核工作。</w:t>
      </w:r>
    </w:p>
    <w:p>
      <w:pPr>
        <w:spacing w:line="560" w:lineRule="exact"/>
        <w:ind w:firstLine="645"/>
        <w:rPr>
          <w:rFonts w:ascii="仿宋_GB2312" w:eastAsia="仿宋_GB2312"/>
          <w:sz w:val="32"/>
          <w:szCs w:val="32"/>
        </w:rPr>
      </w:pPr>
      <w:r>
        <w:rPr>
          <w:rFonts w:hint="eastAsia" w:ascii="仿宋_GB2312" w:eastAsia="仿宋_GB2312"/>
          <w:sz w:val="32"/>
          <w:szCs w:val="32"/>
        </w:rPr>
        <w:t>（十三）按照分级、属地原则，依法监督检查危险化学品和烟花爆竹领域生产经营单位贯彻执行安全生产法律法规情况及其安全生产条件和有关设备（特种设备除外）、材料、劳动防护用品的安全生产管理工作。依法组织并指导监督实施安全生产准入制度。</w:t>
      </w:r>
    </w:p>
    <w:p>
      <w:pPr>
        <w:spacing w:line="560" w:lineRule="exact"/>
        <w:ind w:firstLine="645"/>
        <w:rPr>
          <w:rFonts w:ascii="仿宋_GB2312" w:eastAsia="仿宋_GB2312"/>
          <w:sz w:val="32"/>
          <w:szCs w:val="32"/>
        </w:rPr>
      </w:pPr>
      <w:r>
        <w:rPr>
          <w:rFonts w:hint="eastAsia" w:ascii="仿宋_GB2312" w:eastAsia="仿宋_GB2312"/>
          <w:sz w:val="32"/>
          <w:szCs w:val="32"/>
        </w:rPr>
        <w:t>（十四）依法组织指导全区范围内生产安全事故调查处理，监督事故查处、责任追究和整改措施落实情况，组织开展自然灾害类突发事件的调查评估工作。</w:t>
      </w:r>
    </w:p>
    <w:p>
      <w:pPr>
        <w:spacing w:line="560" w:lineRule="exact"/>
        <w:ind w:firstLine="645"/>
        <w:rPr>
          <w:rFonts w:ascii="仿宋_GB2312" w:eastAsia="仿宋_GB2312"/>
          <w:sz w:val="32"/>
          <w:szCs w:val="32"/>
        </w:rPr>
      </w:pPr>
      <w:r>
        <w:rPr>
          <w:rFonts w:hint="eastAsia" w:ascii="仿宋_GB2312" w:eastAsia="仿宋_GB2312"/>
          <w:sz w:val="32"/>
          <w:szCs w:val="32"/>
        </w:rPr>
        <w:t>（十五）制定全区应急物资储备和应急救援装备规划并组织实施，会同区级有关部门建立健全应急物资信息平台和调拨制度，负责应急救灾物资统一调度。</w:t>
      </w:r>
    </w:p>
    <w:p>
      <w:pPr>
        <w:spacing w:line="560" w:lineRule="exact"/>
        <w:ind w:firstLine="645"/>
        <w:rPr>
          <w:rFonts w:ascii="仿宋_GB2312" w:eastAsia="仿宋_GB2312"/>
          <w:sz w:val="32"/>
          <w:szCs w:val="32"/>
        </w:rPr>
      </w:pPr>
      <w:r>
        <w:rPr>
          <w:rFonts w:hint="eastAsia" w:ascii="仿宋_GB2312" w:eastAsia="仿宋_GB2312"/>
          <w:sz w:val="32"/>
          <w:szCs w:val="32"/>
        </w:rPr>
        <w:t>（十六）负责应急管理、安全生产、防灾减灾等宣传教育和培训工作，组织指导应急管理、安全生产、防灾减灾的科学技术研究、推广应用和信息化建设工作。</w:t>
      </w:r>
    </w:p>
    <w:p>
      <w:pPr>
        <w:spacing w:line="560" w:lineRule="exact"/>
        <w:ind w:firstLine="645"/>
        <w:rPr>
          <w:rFonts w:ascii="仿宋_GB2312" w:eastAsia="仿宋_GB2312"/>
          <w:sz w:val="32"/>
          <w:szCs w:val="32"/>
        </w:rPr>
      </w:pPr>
      <w:r>
        <w:rPr>
          <w:rFonts w:hint="eastAsia" w:ascii="仿宋_GB2312" w:eastAsia="仿宋_GB2312"/>
          <w:sz w:val="32"/>
          <w:szCs w:val="32"/>
        </w:rPr>
        <w:t>（十七）开展应急管理方面的交流与合作。</w:t>
      </w:r>
    </w:p>
    <w:p>
      <w:pPr>
        <w:spacing w:line="560" w:lineRule="exact"/>
        <w:ind w:firstLine="645"/>
        <w:rPr>
          <w:rFonts w:ascii="仿宋_GB2312" w:eastAsia="仿宋_GB2312"/>
          <w:sz w:val="32"/>
          <w:szCs w:val="32"/>
        </w:rPr>
      </w:pPr>
      <w:r>
        <w:rPr>
          <w:rFonts w:hint="eastAsia" w:ascii="仿宋_GB2312" w:eastAsia="仿宋_GB2312"/>
          <w:sz w:val="32"/>
          <w:szCs w:val="32"/>
        </w:rPr>
        <w:t>（十八）承担区安委办、区防汛抗旱指挥部、区减灾委员会、区抗震救灾指挥部的日常工作。</w:t>
      </w:r>
    </w:p>
    <w:p>
      <w:pPr>
        <w:spacing w:line="560" w:lineRule="exact"/>
        <w:ind w:firstLine="645"/>
        <w:rPr>
          <w:rFonts w:ascii="仿宋_GB2312" w:eastAsia="仿宋_GB2312"/>
          <w:sz w:val="32"/>
          <w:szCs w:val="32"/>
        </w:rPr>
      </w:pPr>
      <w:r>
        <w:rPr>
          <w:rFonts w:hint="eastAsia" w:ascii="仿宋_GB2312" w:eastAsia="仿宋_GB2312"/>
          <w:sz w:val="32"/>
          <w:szCs w:val="32"/>
        </w:rPr>
        <w:t>（十九）完成区委、区政府和上级部门交办的其他任务。</w:t>
      </w:r>
    </w:p>
    <w:p>
      <w:pPr>
        <w:spacing w:line="560" w:lineRule="exact"/>
        <w:ind w:firstLine="645"/>
        <w:rPr>
          <w:rFonts w:hint="eastAsia" w:ascii="仿宋_GB2312" w:eastAsia="仿宋_GB2312"/>
          <w:sz w:val="32"/>
          <w:szCs w:val="32"/>
        </w:rPr>
      </w:pPr>
      <w:r>
        <w:rPr>
          <w:rFonts w:hint="eastAsia" w:ascii="仿宋_GB2312" w:eastAsia="仿宋_GB2312"/>
          <w:sz w:val="32"/>
          <w:szCs w:val="32"/>
        </w:rPr>
        <w:t>（二）内设机构。</w:t>
      </w:r>
    </w:p>
    <w:p>
      <w:pPr>
        <w:spacing w:line="560" w:lineRule="exact"/>
        <w:ind w:firstLine="645"/>
        <w:rPr>
          <w:rFonts w:ascii="仿宋_GB2312" w:eastAsia="仿宋_GB2312"/>
          <w:sz w:val="32"/>
          <w:szCs w:val="32"/>
        </w:rPr>
      </w:pPr>
      <w:r>
        <w:rPr>
          <w:rFonts w:hint="eastAsia" w:ascii="仿宋_GB2312" w:eastAsia="仿宋_GB2312"/>
          <w:sz w:val="32"/>
          <w:szCs w:val="32"/>
        </w:rPr>
        <w:t>杨陵区应急管理局无内设机构。</w:t>
      </w:r>
    </w:p>
    <w:p>
      <w:pPr>
        <w:widowControl/>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纳入2019年本部门决算编制范围的单位共2个，包括本级及所属1个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p>
      <w:pPr>
        <w:ind w:firstLine="640"/>
        <w:rPr>
          <w:rFonts w:ascii="仿宋_GB2312" w:hAnsi="仿宋_GB2312" w:eastAsia="仿宋_GB2312" w:cs="仿宋_GB2312"/>
          <w:sz w:val="32"/>
          <w:szCs w:val="32"/>
        </w:rPr>
      </w:pP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杨陵区应急管理局本级（机关）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杨陵区安全生产监察大队</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（杨陵区防汛抗旱指挥办公室）</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截止2019年底，本部门人员编制18人，其中行政编制6人、事业编制12人；实有人员14人，其中行政8人、事业6人。单位管理的离退休人员2人。</w:t>
      </w:r>
    </w:p>
    <w:p>
      <w:pPr>
        <w:ind w:firstLine="640"/>
        <w:rPr>
          <w:rFonts w:hint="eastAsia" w:ascii="仿宋_GB2312" w:hAnsi="仿宋_GB2312" w:eastAsia="仿宋_GB2312" w:cs="仿宋_GB2312"/>
          <w:sz w:val="32"/>
          <w:szCs w:val="32"/>
        </w:rPr>
      </w:pPr>
      <w:r>
        <w:drawing>
          <wp:inline distT="0" distB="0" distL="0" distR="0">
            <wp:extent cx="4572000" cy="2743200"/>
            <wp:effectExtent l="4445" t="4445" r="1460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无政府性基金决算收支</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 xml:space="preserve">编制部门： 杨陵区应急管理局                                     </w:t>
      </w:r>
      <w:r>
        <w:rPr>
          <w:rFonts w:ascii="宋体" w:hAnsi="宋体" w:cs="宋体"/>
          <w:b/>
          <w:bCs/>
          <w:szCs w:val="21"/>
        </w:rPr>
        <w:t xml:space="preserve">     </w:t>
      </w:r>
      <w:r>
        <w:rPr>
          <w:rFonts w:hint="eastAsia" w:ascii="宋体" w:hAnsi="宋体" w:cs="宋体"/>
          <w:b/>
          <w:bCs/>
          <w:szCs w:val="21"/>
        </w:rPr>
        <w:t>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207.49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101.92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308</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309.41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308</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1.71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3.12</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311.12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311.12</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杨陵区应急管理局                                           金额单位：万元</w:t>
      </w:r>
    </w:p>
    <w:tbl>
      <w:tblPr>
        <w:tblStyle w:val="8"/>
        <w:tblW w:w="8655" w:type="dxa"/>
        <w:tblInd w:w="0" w:type="dxa"/>
        <w:tblLayout w:type="fixed"/>
        <w:tblCellMar>
          <w:top w:w="15" w:type="dxa"/>
          <w:left w:w="15" w:type="dxa"/>
          <w:bottom w:w="15" w:type="dxa"/>
          <w:right w:w="15" w:type="dxa"/>
        </w:tblCellMar>
      </w:tblPr>
      <w:tblGrid>
        <w:gridCol w:w="905"/>
        <w:gridCol w:w="737"/>
        <w:gridCol w:w="834"/>
        <w:gridCol w:w="849"/>
        <w:gridCol w:w="701"/>
        <w:gridCol w:w="701"/>
        <w:gridCol w:w="1441"/>
        <w:gridCol w:w="731"/>
        <w:gridCol w:w="966"/>
        <w:gridCol w:w="790"/>
      </w:tblGrid>
      <w:tr>
        <w:tblPrEx>
          <w:tblCellMar>
            <w:top w:w="15" w:type="dxa"/>
            <w:left w:w="15" w:type="dxa"/>
            <w:bottom w:w="15" w:type="dxa"/>
            <w:right w:w="15" w:type="dxa"/>
          </w:tblCellMar>
        </w:tblPrEx>
        <w:trPr>
          <w:trHeight w:val="551" w:hRule="atLeast"/>
        </w:trPr>
        <w:tc>
          <w:tcPr>
            <w:tcW w:w="16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7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40" w:hRule="atLeast"/>
        </w:trPr>
        <w:tc>
          <w:tcPr>
            <w:tcW w:w="90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3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51" w:hRule="atLeast"/>
        </w:trPr>
        <w:tc>
          <w:tcPr>
            <w:tcW w:w="16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309.41</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207.49</w:t>
            </w: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101.92</w:t>
            </w:r>
          </w:p>
        </w:tc>
      </w:tr>
      <w:tr>
        <w:tblPrEx>
          <w:tblCellMar>
            <w:top w:w="15" w:type="dxa"/>
            <w:left w:w="15" w:type="dxa"/>
            <w:bottom w:w="15" w:type="dxa"/>
            <w:right w:w="15" w:type="dxa"/>
          </w:tblCellMar>
        </w:tblPrEx>
        <w:trPr>
          <w:trHeight w:val="1257" w:hRule="atLeast"/>
        </w:trPr>
        <w:tc>
          <w:tcPr>
            <w:tcW w:w="9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w:t>
            </w:r>
          </w:p>
        </w:tc>
        <w:tc>
          <w:tcPr>
            <w:tcW w:w="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灾害防治及应急管理支出</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309.41</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207.49</w:t>
            </w: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101.92</w:t>
            </w:r>
          </w:p>
        </w:tc>
      </w:tr>
      <w:tr>
        <w:tblPrEx>
          <w:tblCellMar>
            <w:top w:w="15" w:type="dxa"/>
            <w:left w:w="15" w:type="dxa"/>
            <w:bottom w:w="15" w:type="dxa"/>
            <w:right w:w="15" w:type="dxa"/>
          </w:tblCellMar>
        </w:tblPrEx>
        <w:trPr>
          <w:trHeight w:val="714" w:hRule="atLeast"/>
        </w:trPr>
        <w:tc>
          <w:tcPr>
            <w:tcW w:w="9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22401</w:t>
            </w:r>
          </w:p>
        </w:tc>
        <w:tc>
          <w:tcPr>
            <w:tcW w:w="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应急管理事务</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309.29</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207.49</w:t>
            </w: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101.8</w:t>
            </w:r>
          </w:p>
        </w:tc>
      </w:tr>
      <w:tr>
        <w:tblPrEx>
          <w:tblCellMar>
            <w:top w:w="15" w:type="dxa"/>
            <w:left w:w="15" w:type="dxa"/>
            <w:bottom w:w="15" w:type="dxa"/>
            <w:right w:w="15" w:type="dxa"/>
          </w:tblCellMar>
        </w:tblPrEx>
        <w:trPr>
          <w:trHeight w:val="714" w:hRule="atLeast"/>
        </w:trPr>
        <w:tc>
          <w:tcPr>
            <w:tcW w:w="9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2240101</w:t>
            </w:r>
          </w:p>
        </w:tc>
        <w:tc>
          <w:tcPr>
            <w:tcW w:w="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113.37</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112.18</w:t>
            </w: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1.19</w:t>
            </w:r>
          </w:p>
        </w:tc>
      </w:tr>
      <w:tr>
        <w:tblPrEx>
          <w:tblCellMar>
            <w:top w:w="15" w:type="dxa"/>
            <w:left w:w="15" w:type="dxa"/>
            <w:bottom w:w="15" w:type="dxa"/>
            <w:right w:w="15" w:type="dxa"/>
          </w:tblCellMar>
        </w:tblPrEx>
        <w:trPr>
          <w:trHeight w:val="714" w:hRule="atLeast"/>
        </w:trPr>
        <w:tc>
          <w:tcPr>
            <w:tcW w:w="9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2240106</w:t>
            </w:r>
          </w:p>
        </w:tc>
        <w:tc>
          <w:tcPr>
            <w:tcW w:w="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安全监管</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16.7</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16.7</w:t>
            </w:r>
          </w:p>
        </w:tc>
      </w:tr>
      <w:tr>
        <w:tblPrEx>
          <w:tblCellMar>
            <w:top w:w="15" w:type="dxa"/>
            <w:left w:w="15" w:type="dxa"/>
            <w:bottom w:w="15" w:type="dxa"/>
            <w:right w:w="15" w:type="dxa"/>
          </w:tblCellMar>
        </w:tblPrEx>
        <w:trPr>
          <w:trHeight w:val="714" w:hRule="atLeast"/>
        </w:trPr>
        <w:tc>
          <w:tcPr>
            <w:tcW w:w="9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2240150</w:t>
            </w:r>
          </w:p>
        </w:tc>
        <w:tc>
          <w:tcPr>
            <w:tcW w:w="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63.64</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63.64</w:t>
            </w: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85" w:hRule="atLeast"/>
        </w:trPr>
        <w:tc>
          <w:tcPr>
            <w:tcW w:w="9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2240199</w:t>
            </w:r>
          </w:p>
        </w:tc>
        <w:tc>
          <w:tcPr>
            <w:tcW w:w="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其他应急管理支出</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115.59</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31.67</w:t>
            </w: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83.92</w:t>
            </w:r>
          </w:p>
        </w:tc>
      </w:tr>
      <w:tr>
        <w:tblPrEx>
          <w:tblCellMar>
            <w:top w:w="15" w:type="dxa"/>
            <w:left w:w="15" w:type="dxa"/>
            <w:bottom w:w="15" w:type="dxa"/>
            <w:right w:w="15" w:type="dxa"/>
          </w:tblCellMar>
        </w:tblPrEx>
        <w:trPr>
          <w:trHeight w:val="1529" w:hRule="atLeast"/>
        </w:trPr>
        <w:tc>
          <w:tcPr>
            <w:tcW w:w="9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22407</w:t>
            </w:r>
          </w:p>
        </w:tc>
        <w:tc>
          <w:tcPr>
            <w:tcW w:w="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自然灾害救灾及恢复重建支出</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r>
      <w:tr>
        <w:tblPrEx>
          <w:tblCellMar>
            <w:top w:w="15" w:type="dxa"/>
            <w:left w:w="15" w:type="dxa"/>
            <w:bottom w:w="15" w:type="dxa"/>
            <w:right w:w="15" w:type="dxa"/>
          </w:tblCellMar>
        </w:tblPrEx>
        <w:trPr>
          <w:trHeight w:val="1299" w:hRule="atLeast"/>
        </w:trPr>
        <w:tc>
          <w:tcPr>
            <w:tcW w:w="9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2240701</w:t>
            </w:r>
          </w:p>
        </w:tc>
        <w:tc>
          <w:tcPr>
            <w:tcW w:w="7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中央自然灾害生活补助</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杨陵区应急管理局                                          金额单位：万元</w:t>
      </w:r>
    </w:p>
    <w:tbl>
      <w:tblPr>
        <w:tblStyle w:val="8"/>
        <w:tblW w:w="9058" w:type="dxa"/>
        <w:tblInd w:w="0" w:type="dxa"/>
        <w:tblLayout w:type="fixed"/>
        <w:tblCellMar>
          <w:top w:w="15" w:type="dxa"/>
          <w:left w:w="15" w:type="dxa"/>
          <w:bottom w:w="15" w:type="dxa"/>
          <w:right w:w="15" w:type="dxa"/>
        </w:tblCellMar>
      </w:tblPr>
      <w:tblGrid>
        <w:gridCol w:w="930"/>
        <w:gridCol w:w="84"/>
        <w:gridCol w:w="1244"/>
        <w:gridCol w:w="1277"/>
        <w:gridCol w:w="1003"/>
        <w:gridCol w:w="1098"/>
        <w:gridCol w:w="1129"/>
        <w:gridCol w:w="924"/>
        <w:gridCol w:w="1369"/>
      </w:tblGrid>
      <w:tr>
        <w:tblPrEx>
          <w:tblCellMar>
            <w:top w:w="15" w:type="dxa"/>
            <w:left w:w="15" w:type="dxa"/>
            <w:bottom w:w="15" w:type="dxa"/>
            <w:right w:w="15" w:type="dxa"/>
          </w:tblCellMar>
        </w:tblPrEx>
        <w:trPr>
          <w:trHeight w:val="522" w:hRule="atLeast"/>
        </w:trPr>
        <w:tc>
          <w:tcPr>
            <w:tcW w:w="225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890" w:hRule="atLeast"/>
        </w:trPr>
        <w:tc>
          <w:tcPr>
            <w:tcW w:w="10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905" w:hRule="atLeast"/>
        </w:trPr>
        <w:tc>
          <w:tcPr>
            <w:tcW w:w="225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308</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179.08</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128.92</w:t>
            </w: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05"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灾害防治及应急管理支出</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308</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179.08</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128.92</w:t>
            </w: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05"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22401</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应急管理事务</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307.88</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179.08</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128.8</w:t>
            </w: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05"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2240101</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113.37</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113.37</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05"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2240106</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安全监管</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16.7</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16.7</w:t>
            </w: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05"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2240150</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63.64</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63.64</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05"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2240199</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其他应急管理支出</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114.17</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112.1</w:t>
            </w: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16"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22407</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自然灾害救灾及恢复重建支出</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05"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2240701</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中央自然灾害生活补助</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31"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杨陵区应急管理局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207.49</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207.49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207.49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 xml:space="preserve">编制部门： 杨陵区应急管理局                                     </w:t>
      </w:r>
      <w:r>
        <w:rPr>
          <w:rFonts w:ascii="宋体" w:hAnsi="宋体" w:cs="宋体"/>
          <w:b/>
          <w:bCs/>
          <w:szCs w:val="21"/>
        </w:rPr>
        <w:t xml:space="preserve">     </w:t>
      </w:r>
      <w:r>
        <w:rPr>
          <w:rFonts w:hint="eastAsia" w:ascii="宋体" w:hAnsi="宋体" w:cs="宋体"/>
          <w:b/>
          <w:bCs/>
          <w:szCs w:val="21"/>
        </w:rPr>
        <w:t>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207.49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207.49</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207.49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207.49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207.49</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207.49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杨陵区应急管理局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b/>
                <w:bCs/>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207.49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177.89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168.23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9.66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29.6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szCs w:val="21"/>
              </w:rPr>
              <w:t>224</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灾害防治及应急管理支出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207.49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177.89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168.23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9.66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29.6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 xml:space="preserve"> 22401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应急管理事务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207.49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177.89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168.23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9.66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29.6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 xml:space="preserve">    2240101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szCs w:val="21"/>
              </w:rPr>
            </w:pPr>
            <w:r>
              <w:rPr>
                <w:rFonts w:hint="eastAsia" w:ascii="宋体" w:hAnsi="宋体" w:cs="宋体"/>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112.18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112.18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102.52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9.66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2240150</w:t>
            </w:r>
          </w:p>
        </w:tc>
        <w:tc>
          <w:tcPr>
            <w:tcW w:w="153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szCs w:val="21"/>
              </w:rPr>
            </w:pPr>
            <w:r>
              <w:rPr>
                <w:rFonts w:hint="eastAsia" w:ascii="宋体" w:hAnsi="宋体" w:cs="宋体"/>
                <w:szCs w:val="21"/>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63.64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63.64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63.64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2240199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 xml:space="preserve"> 其它应急管理支出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31.67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2.07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2.07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29.60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 xml:space="preserve">编制部门：杨陵区应急管理局                                        </w:t>
      </w:r>
      <w:r>
        <w:rPr>
          <w:rFonts w:ascii="宋体" w:hAnsi="宋体" w:cs="宋体"/>
          <w:b/>
          <w:bCs/>
          <w:szCs w:val="21"/>
        </w:rPr>
        <w:t xml:space="preserve">   </w:t>
      </w:r>
      <w:r>
        <w:rPr>
          <w:rFonts w:hint="eastAsia" w:ascii="宋体" w:hAnsi="宋体" w:cs="宋体"/>
          <w:b/>
          <w:bCs/>
          <w:szCs w:val="21"/>
        </w:rPr>
        <w:t>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FF0000"/>
                <w:szCs w:val="21"/>
              </w:rPr>
            </w:pPr>
            <w:r>
              <w:rPr>
                <w:rFonts w:hint="eastAsia" w:ascii="宋体" w:hAnsi="宋体" w:cs="宋体"/>
                <w:b/>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FF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szCs w:val="21"/>
              </w:rPr>
            </w:pPr>
            <w:r>
              <w:rPr>
                <w:rFonts w:hint="eastAsia" w:ascii="宋体" w:hAnsi="宋体" w:cs="宋体"/>
                <w:b/>
                <w:szCs w:val="21"/>
              </w:rPr>
              <w:t>177.89</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szCs w:val="21"/>
              </w:rPr>
            </w:pPr>
            <w:r>
              <w:rPr>
                <w:rFonts w:hint="eastAsia" w:ascii="宋体" w:hAnsi="宋体" w:cs="宋体"/>
                <w:b/>
                <w:szCs w:val="21"/>
              </w:rPr>
              <w:t>168.23</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szCs w:val="21"/>
              </w:rPr>
            </w:pPr>
            <w:r>
              <w:rPr>
                <w:rFonts w:hint="eastAsia" w:ascii="宋体" w:hAnsi="宋体" w:cs="宋体"/>
                <w:b/>
                <w:szCs w:val="21"/>
              </w:rPr>
              <w:t>9.66</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167.63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167.63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55.13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55.13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36.47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36.47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18.67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18.67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伙食补助费</w:t>
            </w:r>
          </w:p>
          <w:p>
            <w:pPr>
              <w:jc w:val="left"/>
              <w:rPr>
                <w:rFonts w:ascii="宋体" w:hAnsi="宋体" w:cs="宋体"/>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3.22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3.22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绩效工资</w:t>
            </w:r>
          </w:p>
          <w:p>
            <w:pPr>
              <w:jc w:val="left"/>
              <w:rPr>
                <w:rFonts w:ascii="宋体" w:hAnsi="宋体" w:cs="宋体"/>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18.28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18.28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机关事业单位基本养老保险缴费</w:t>
            </w:r>
          </w:p>
          <w:p>
            <w:pPr>
              <w:jc w:val="left"/>
              <w:rPr>
                <w:rFonts w:ascii="宋体" w:hAnsi="宋体" w:cs="宋体"/>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17.3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17.3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住房公积金</w:t>
            </w:r>
          </w:p>
          <w:p>
            <w:pPr>
              <w:jc w:val="left"/>
              <w:rPr>
                <w:rFonts w:ascii="宋体" w:hAnsi="宋体" w:cs="宋体"/>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18.55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18.55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9.66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9.66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0.32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0.32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30203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手续费</w:t>
            </w:r>
          </w:p>
          <w:p>
            <w:pPr>
              <w:jc w:val="left"/>
              <w:rPr>
                <w:rFonts w:ascii="宋体" w:hAnsi="宋体" w:cs="宋体"/>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水费</w:t>
            </w:r>
          </w:p>
          <w:p>
            <w:pPr>
              <w:jc w:val="left"/>
              <w:rPr>
                <w:rFonts w:ascii="宋体" w:hAnsi="宋体" w:cs="宋体"/>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0.18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0.18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电费</w:t>
            </w:r>
          </w:p>
          <w:p>
            <w:pPr>
              <w:jc w:val="left"/>
              <w:rPr>
                <w:rFonts w:ascii="宋体" w:hAnsi="宋体" w:cs="宋体"/>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0.75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0.75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邮电费</w:t>
            </w:r>
          </w:p>
          <w:p>
            <w:pPr>
              <w:jc w:val="left"/>
              <w:rPr>
                <w:rFonts w:ascii="宋体" w:hAnsi="宋体" w:cs="宋体"/>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2.77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2.77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差旅费</w:t>
            </w:r>
          </w:p>
          <w:p>
            <w:pPr>
              <w:jc w:val="left"/>
              <w:rPr>
                <w:rFonts w:ascii="宋体" w:hAnsi="宋体" w:cs="宋体"/>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0.22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0.22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Cs w:val="21"/>
              </w:rPr>
            </w:pPr>
            <w:r>
              <w:rPr>
                <w:rFonts w:hint="eastAsia" w:ascii="宋体" w:hAnsi="宋体" w:cs="宋体"/>
                <w:kern w:val="0"/>
                <w:szCs w:val="21"/>
              </w:rPr>
              <w:t>维修（护）费</w:t>
            </w:r>
          </w:p>
          <w:p>
            <w:pPr>
              <w:widowControl/>
              <w:jc w:val="left"/>
              <w:textAlignment w:val="center"/>
              <w:rPr>
                <w:rFonts w:ascii="宋体" w:hAnsi="宋体" w:cs="宋体"/>
                <w:kern w:val="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0.17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Cs w:val="21"/>
              </w:rPr>
            </w:pPr>
            <w:r>
              <w:rPr>
                <w:rFonts w:hint="eastAsia" w:ascii="宋体" w:hAnsi="宋体" w:cs="宋体"/>
                <w:kern w:val="0"/>
                <w:szCs w:val="21"/>
              </w:rPr>
              <w:t>公务接待费</w:t>
            </w:r>
          </w:p>
          <w:p>
            <w:pPr>
              <w:widowControl/>
              <w:jc w:val="left"/>
              <w:textAlignment w:val="center"/>
              <w:rPr>
                <w:rFonts w:ascii="宋体" w:hAnsi="宋体" w:cs="宋体"/>
                <w:kern w:val="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0.42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0.42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Cs w:val="21"/>
              </w:rPr>
            </w:pPr>
            <w:r>
              <w:rPr>
                <w:rFonts w:hint="eastAsia" w:ascii="宋体" w:hAnsi="宋体" w:cs="宋体"/>
                <w:kern w:val="0"/>
                <w:szCs w:val="21"/>
              </w:rPr>
              <w:t>工会经费</w:t>
            </w:r>
          </w:p>
          <w:p>
            <w:pPr>
              <w:widowControl/>
              <w:jc w:val="left"/>
              <w:textAlignment w:val="center"/>
              <w:rPr>
                <w:rFonts w:ascii="宋体" w:hAnsi="宋体" w:cs="宋体"/>
                <w:kern w:val="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1.9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Cs w:val="21"/>
              </w:rPr>
            </w:pPr>
            <w:r>
              <w:rPr>
                <w:rFonts w:hint="eastAsia" w:ascii="宋体" w:hAnsi="宋体" w:cs="宋体"/>
                <w:kern w:val="0"/>
                <w:szCs w:val="21"/>
              </w:rPr>
              <w:t>其他交通费用</w:t>
            </w:r>
          </w:p>
          <w:p>
            <w:pPr>
              <w:widowControl/>
              <w:jc w:val="left"/>
              <w:textAlignment w:val="center"/>
              <w:rPr>
                <w:rFonts w:ascii="宋体" w:hAnsi="宋体" w:cs="宋体"/>
                <w:kern w:val="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2.69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2.69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30304</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抚恤金</w:t>
            </w:r>
          </w:p>
          <w:p>
            <w:pPr>
              <w:jc w:val="left"/>
              <w:rPr>
                <w:rFonts w:ascii="宋体" w:hAnsi="宋体" w:cs="宋体"/>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0.54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0.54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奖励金</w:t>
            </w:r>
          </w:p>
          <w:p>
            <w:pPr>
              <w:jc w:val="left"/>
              <w:rPr>
                <w:rFonts w:ascii="宋体" w:hAnsi="宋体" w:cs="宋体"/>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r>
              <w:rPr>
                <w:rFonts w:hint="eastAsia" w:ascii="宋体" w:hAnsi="宋体" w:cs="宋体"/>
                <w:szCs w:val="21"/>
              </w:rPr>
              <w:t>0.06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FF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FF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FF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1.46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0.43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1.03</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0.42</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0.42</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2019年收入309.41万元，较上年366.74减少57.33万元减少15.63%，主要原因</w:t>
      </w:r>
      <w:r>
        <w:rPr>
          <w:rFonts w:hint="eastAsia" w:ascii="仿宋_GB2312" w:hAnsi="仿宋" w:eastAsia="仿宋_GB2312"/>
          <w:sz w:val="32"/>
          <w:szCs w:val="32"/>
          <w:lang w:eastAsia="zh-CN"/>
        </w:rPr>
        <w:t>减少烟花爆竹禁燃禁放补偿费</w:t>
      </w:r>
      <w:r>
        <w:rPr>
          <w:rFonts w:hint="eastAsia" w:ascii="仿宋_GB2312" w:hAnsi="仿宋" w:eastAsia="仿宋_GB2312"/>
          <w:sz w:val="32"/>
          <w:szCs w:val="32"/>
        </w:rPr>
        <w:t>。</w:t>
      </w:r>
    </w:p>
    <w:p>
      <w:pPr>
        <w:widowControl/>
        <w:ind w:firstLine="420" w:firstLineChars="200"/>
        <w:jc w:val="left"/>
        <w:rPr>
          <w:rFonts w:ascii="仿宋_GB2312" w:hAnsi="仿宋" w:eastAsia="仿宋_GB2312"/>
          <w:sz w:val="32"/>
          <w:szCs w:val="32"/>
        </w:rPr>
      </w:pPr>
      <w:r>
        <w:drawing>
          <wp:inline distT="0" distB="0" distL="0" distR="0">
            <wp:extent cx="4572000" cy="2743200"/>
            <wp:effectExtent l="4445" t="4445" r="1460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2019年支出308万元，较上年348.98万元减少40.98万元减少11.74%，主要原因</w:t>
      </w:r>
      <w:r>
        <w:rPr>
          <w:rFonts w:hint="eastAsia" w:ascii="仿宋_GB2312" w:hAnsi="仿宋" w:eastAsia="仿宋_GB2312"/>
          <w:sz w:val="32"/>
          <w:szCs w:val="32"/>
          <w:lang w:eastAsia="zh-CN"/>
        </w:rPr>
        <w:t>减少烟花爆竹禁燃禁放补偿费</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p>
    <w:p>
      <w:pPr>
        <w:widowControl/>
        <w:ind w:firstLine="420" w:firstLineChars="200"/>
        <w:jc w:val="left"/>
        <w:rPr>
          <w:rFonts w:ascii="仿宋_GB2312" w:hAnsi="仿宋" w:eastAsia="仿宋_GB2312"/>
          <w:sz w:val="32"/>
          <w:szCs w:val="32"/>
        </w:rPr>
      </w:pPr>
      <w:r>
        <w:drawing>
          <wp:inline distT="0" distB="0" distL="0" distR="0">
            <wp:extent cx="4572000" cy="2743200"/>
            <wp:effectExtent l="4445" t="4445" r="1460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jc w:val="left"/>
        <w:rPr>
          <w:rFonts w:ascii="仿宋_GB2312" w:hAnsi="仿宋" w:eastAsia="仿宋_GB2312"/>
          <w:sz w:val="32"/>
          <w:szCs w:val="32"/>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bidi="ar"/>
        </w:rPr>
        <w:t>309.41</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bidi="ar"/>
        </w:rPr>
        <w:t>207.49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67.06</w:t>
      </w:r>
      <w:r>
        <w:rPr>
          <w:rFonts w:ascii="仿宋_GB2312" w:hAnsi="宋体" w:eastAsia="仿宋_GB2312" w:cs="仿宋_GB2312"/>
          <w:color w:val="000000"/>
          <w:kern w:val="0"/>
          <w:sz w:val="32"/>
          <w:szCs w:val="32"/>
          <w:lang w:bidi="ar"/>
        </w:rPr>
        <w:t>%；事业收入</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bidi="ar"/>
        </w:rPr>
        <w:t>101.92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32.94</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420" w:firstLineChars="200"/>
        <w:jc w:val="left"/>
        <w:rPr>
          <w:rFonts w:ascii="仿宋_GB2312" w:hAnsi="宋体" w:eastAsia="仿宋_GB2312" w:cs="仿宋_GB2312"/>
          <w:color w:val="000000"/>
          <w:kern w:val="0"/>
          <w:sz w:val="32"/>
          <w:szCs w:val="32"/>
          <w:lang w:bidi="ar"/>
        </w:rPr>
      </w:pPr>
      <w:r>
        <w:drawing>
          <wp:inline distT="0" distB="0" distL="0" distR="0">
            <wp:extent cx="4572000" cy="2743200"/>
            <wp:effectExtent l="4445" t="4445" r="1460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jc w:val="left"/>
        <w:rPr>
          <w:rFonts w:ascii="仿宋_GB2312" w:hAnsi="宋体" w:eastAsia="仿宋_GB2312" w:cs="仿宋_GB2312"/>
          <w:color w:val="000000"/>
          <w:kern w:val="0"/>
          <w:sz w:val="32"/>
          <w:szCs w:val="32"/>
          <w:lang w:bidi="ar"/>
        </w:rPr>
      </w:pPr>
    </w:p>
    <w:p>
      <w:pPr>
        <w:widowControl/>
        <w:ind w:firstLine="420" w:firstLineChars="200"/>
        <w:jc w:val="left"/>
      </w:pP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bidi="ar"/>
        </w:rPr>
        <w:t>308</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bidi="ar"/>
        </w:rPr>
        <w:t>179.08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58.14</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bidi="ar"/>
        </w:rPr>
        <w:t>128.92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41.86</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p>
    <w:p>
      <w:pPr>
        <w:widowControl/>
        <w:ind w:firstLine="420" w:firstLineChars="200"/>
        <w:jc w:val="left"/>
      </w:pPr>
      <w:r>
        <w:drawing>
          <wp:inline distT="0" distB="0" distL="0" distR="0">
            <wp:extent cx="4572000" cy="2743200"/>
            <wp:effectExtent l="4445" t="4445" r="1460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收入207.49万元，较上年346.09万元减少138.6万元减少40.04%</w:t>
      </w:r>
      <w:r>
        <w:rPr>
          <w:rFonts w:hint="eastAsia" w:ascii="仿宋_GB2312" w:hAnsi="仿宋" w:eastAsia="仿宋_GB2312"/>
          <w:sz w:val="32"/>
          <w:szCs w:val="32"/>
          <w:lang w:eastAsia="zh-CN"/>
        </w:rPr>
        <w:t>，</w:t>
      </w:r>
      <w:r>
        <w:rPr>
          <w:rFonts w:hint="eastAsia" w:ascii="仿宋_GB2312" w:hAnsi="仿宋" w:eastAsia="仿宋_GB2312"/>
          <w:sz w:val="32"/>
          <w:szCs w:val="32"/>
        </w:rPr>
        <w:t>主要原因</w:t>
      </w:r>
      <w:r>
        <w:rPr>
          <w:rFonts w:hint="eastAsia" w:ascii="仿宋_GB2312" w:hAnsi="仿宋" w:eastAsia="仿宋_GB2312"/>
          <w:sz w:val="32"/>
          <w:szCs w:val="32"/>
          <w:lang w:eastAsia="zh-CN"/>
        </w:rPr>
        <w:t>减少烟花爆竹禁燃禁放补偿费</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p>
    <w:p>
      <w:pPr>
        <w:widowControl/>
        <w:ind w:firstLine="420" w:firstLineChars="200"/>
        <w:jc w:val="left"/>
        <w:rPr>
          <w:rFonts w:ascii="仿宋_GB2312" w:hAnsi="仿宋" w:eastAsia="仿宋_GB2312"/>
          <w:sz w:val="32"/>
          <w:szCs w:val="32"/>
        </w:rPr>
      </w:pPr>
      <w:r>
        <w:drawing>
          <wp:inline distT="0" distB="0" distL="0" distR="0">
            <wp:extent cx="4572000" cy="274320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仿宋_GB2312" w:hAnsi="仿宋" w:eastAsia="仿宋_GB2312"/>
          <w:sz w:val="32"/>
          <w:szCs w:val="32"/>
        </w:rPr>
      </w:pP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支出207.49万元，较上年347.66万元减少140.17万元减少40.32%，主要原因</w:t>
      </w:r>
      <w:r>
        <w:rPr>
          <w:rFonts w:hint="eastAsia" w:ascii="仿宋_GB2312" w:hAnsi="仿宋" w:eastAsia="仿宋_GB2312"/>
          <w:sz w:val="32"/>
          <w:szCs w:val="32"/>
          <w:lang w:eastAsia="zh-CN"/>
        </w:rPr>
        <w:t>减少烟花爆竹禁燃禁放补偿费</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p>
    <w:p>
      <w:pPr>
        <w:widowControl/>
        <w:ind w:firstLine="420" w:firstLineChars="200"/>
        <w:jc w:val="left"/>
        <w:rPr>
          <w:rFonts w:ascii="仿宋_GB2312" w:hAnsi="仿宋" w:eastAsia="仿宋_GB2312"/>
          <w:sz w:val="32"/>
          <w:szCs w:val="32"/>
        </w:rPr>
      </w:pPr>
      <w:r>
        <w:drawing>
          <wp:inline distT="0" distB="0" distL="0" distR="0">
            <wp:extent cx="4572000" cy="2743200"/>
            <wp:effectExtent l="4445" t="4445" r="1460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仿宋_GB2312" w:hAnsi="仿宋" w:eastAsia="仿宋_GB2312"/>
          <w:sz w:val="32"/>
          <w:szCs w:val="32"/>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仿宋" w:eastAsia="仿宋_GB2312"/>
          <w:sz w:val="32"/>
          <w:szCs w:val="32"/>
        </w:rPr>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bidi="ar"/>
        </w:rPr>
        <w:t>207.49</w:t>
      </w:r>
      <w:r>
        <w:rPr>
          <w:rFonts w:ascii="仿宋_GB2312" w:hAnsi="宋体" w:eastAsia="仿宋_GB2312" w:cs="仿宋_GB2312"/>
          <w:color w:val="000000"/>
          <w:kern w:val="0"/>
          <w:sz w:val="32"/>
          <w:szCs w:val="32"/>
          <w:lang w:bidi="ar"/>
        </w:rPr>
        <w:t xml:space="preserve"> 万元，占本年支出合计的</w:t>
      </w:r>
      <w:r>
        <w:rPr>
          <w:rFonts w:hint="eastAsia" w:ascii="仿宋_GB2312" w:hAnsi="宋体" w:eastAsia="仿宋_GB2312" w:cs="仿宋_GB2312"/>
          <w:color w:val="000000"/>
          <w:kern w:val="0"/>
          <w:sz w:val="32"/>
          <w:szCs w:val="32"/>
          <w:lang w:bidi="ar"/>
        </w:rPr>
        <w:t>67.4</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减少140.17</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减少40.32</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仿宋" w:eastAsia="仿宋_GB2312"/>
          <w:sz w:val="32"/>
          <w:szCs w:val="32"/>
        </w:rPr>
        <w:t>主要原因</w:t>
      </w:r>
      <w:r>
        <w:rPr>
          <w:rFonts w:hint="eastAsia" w:ascii="仿宋_GB2312" w:hAnsi="仿宋" w:eastAsia="仿宋_GB2312"/>
          <w:sz w:val="32"/>
          <w:szCs w:val="32"/>
          <w:lang w:eastAsia="zh-CN"/>
        </w:rPr>
        <w:t>减少烟花爆竹禁燃禁放补偿费</w:t>
      </w:r>
      <w:r>
        <w:rPr>
          <w:rFonts w:hint="eastAsia" w:ascii="仿宋_GB2312" w:hAnsi="仿宋" w:eastAsia="仿宋_GB2312"/>
          <w:sz w:val="32"/>
          <w:szCs w:val="32"/>
        </w:rPr>
        <w:t>。</w:t>
      </w:r>
    </w:p>
    <w:p>
      <w:pPr>
        <w:widowControl/>
        <w:jc w:val="left"/>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drawing>
          <wp:inline distT="0" distB="0" distL="0" distR="0">
            <wp:extent cx="4572000" cy="2743200"/>
            <wp:effectExtent l="4445" t="4445" r="1460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bidi="ar"/>
        </w:rPr>
        <w:t>209</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207.49</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bidi="ar"/>
        </w:rPr>
        <w:t>99.28</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rPr>
        <w:t xml:space="preserve"> </w:t>
      </w:r>
      <w:r>
        <w:rPr>
          <w:rFonts w:hint="eastAsia" w:ascii="仿宋_GB2312" w:hAnsi="宋体" w:eastAsia="仿宋_GB2312" w:cs="仿宋_GB2312"/>
          <w:b/>
          <w:color w:val="000000"/>
          <w:kern w:val="0"/>
          <w:sz w:val="32"/>
          <w:szCs w:val="32"/>
          <w:lang w:bidi="ar"/>
        </w:rPr>
        <w:t>灾害防治及应急管理支出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应急管理事务</w:t>
      </w:r>
      <w:r>
        <w:rPr>
          <w:rFonts w:ascii="仿宋_GB2312" w:hAnsi="宋体" w:eastAsia="仿宋_GB2312" w:cs="仿宋_GB2312"/>
          <w:b/>
          <w:color w:val="000000"/>
          <w:kern w:val="0"/>
          <w:sz w:val="32"/>
          <w:szCs w:val="32"/>
          <w:lang w:bidi="ar"/>
        </w:rPr>
        <w:t xml:space="preserve">（款）行政运行（项）。 </w:t>
      </w:r>
    </w:p>
    <w:p>
      <w:pPr>
        <w:widowControl/>
        <w:ind w:firstLine="960" w:firstLineChars="3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bidi="ar"/>
        </w:rPr>
        <w:t>113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112.18</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bidi="ar"/>
        </w:rPr>
        <w:t>99.27</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基本持平。</w:t>
      </w:r>
    </w:p>
    <w:p>
      <w:pPr>
        <w:widowControl/>
        <w:ind w:firstLine="643" w:firstLineChars="200"/>
        <w:jc w:val="left"/>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2</w:t>
      </w:r>
      <w:r>
        <w:rPr>
          <w:rFonts w:ascii="仿宋_GB2312" w:hAnsi="宋体" w:eastAsia="仿宋_GB2312" w:cs="仿宋_GB2312"/>
          <w:b/>
          <w:color w:val="000000"/>
          <w:kern w:val="0"/>
          <w:sz w:val="32"/>
          <w:szCs w:val="32"/>
          <w:lang w:bidi="ar"/>
        </w:rPr>
        <w:t>.</w:t>
      </w:r>
      <w:r>
        <w:rPr>
          <w:rFonts w:hint="eastAsia"/>
        </w:rPr>
        <w:t xml:space="preserve"> </w:t>
      </w:r>
      <w:r>
        <w:rPr>
          <w:rFonts w:hint="eastAsia" w:ascii="仿宋_GB2312" w:hAnsi="宋体" w:eastAsia="仿宋_GB2312" w:cs="仿宋_GB2312"/>
          <w:b/>
          <w:color w:val="000000"/>
          <w:kern w:val="0"/>
          <w:sz w:val="32"/>
          <w:szCs w:val="32"/>
          <w:lang w:bidi="ar"/>
        </w:rPr>
        <w:t>灾害防治及应急管理支出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应急管理事务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）事业</w:t>
      </w:r>
      <w:r>
        <w:rPr>
          <w:rFonts w:ascii="仿宋_GB2312" w:hAnsi="宋体" w:eastAsia="仿宋_GB2312" w:cs="仿宋_GB2312"/>
          <w:b/>
          <w:color w:val="000000"/>
          <w:kern w:val="0"/>
          <w:sz w:val="32"/>
          <w:szCs w:val="32"/>
          <w:lang w:bidi="ar"/>
        </w:rPr>
        <w:t>运行（项</w:t>
      </w:r>
      <w:r>
        <w:rPr>
          <w:rFonts w:hint="eastAsia" w:ascii="仿宋_GB2312" w:hAnsi="宋体" w:eastAsia="仿宋_GB2312" w:cs="仿宋_GB2312"/>
          <w:b/>
          <w:color w:val="000000"/>
          <w:kern w:val="0"/>
          <w:sz w:val="32"/>
          <w:szCs w:val="32"/>
          <w:lang w:bidi="ar"/>
        </w:rPr>
        <w:t>）。</w:t>
      </w:r>
      <w:r>
        <w:rPr>
          <w:rFonts w:ascii="仿宋_GB2312" w:hAnsi="宋体" w:eastAsia="仿宋_GB2312" w:cs="仿宋_GB2312"/>
          <w:b/>
          <w:color w:val="000000"/>
          <w:kern w:val="0"/>
          <w:sz w:val="32"/>
          <w:szCs w:val="32"/>
          <w:lang w:bidi="ar"/>
        </w:rPr>
        <w:t xml:space="preserve"> </w:t>
      </w:r>
    </w:p>
    <w:p>
      <w:pPr>
        <w:widowControl/>
        <w:ind w:firstLine="960" w:firstLineChars="3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bidi="ar"/>
        </w:rPr>
        <w:t>64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63.64</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bidi="ar"/>
        </w:rPr>
        <w:t>99.44</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基本持平。</w:t>
      </w:r>
    </w:p>
    <w:p>
      <w:pPr>
        <w:widowControl/>
        <w:ind w:firstLine="964" w:firstLineChars="300"/>
        <w:jc w:val="left"/>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3</w:t>
      </w:r>
      <w:r>
        <w:rPr>
          <w:rFonts w:ascii="仿宋_GB2312" w:hAnsi="宋体" w:eastAsia="仿宋_GB2312" w:cs="仿宋_GB2312"/>
          <w:b/>
          <w:color w:val="000000"/>
          <w:kern w:val="0"/>
          <w:sz w:val="32"/>
          <w:szCs w:val="32"/>
          <w:lang w:bidi="ar"/>
        </w:rPr>
        <w:t>.</w:t>
      </w:r>
      <w:r>
        <w:rPr>
          <w:rFonts w:hint="eastAsia"/>
        </w:rPr>
        <w:t xml:space="preserve"> </w:t>
      </w:r>
      <w:r>
        <w:rPr>
          <w:rFonts w:hint="eastAsia" w:ascii="仿宋_GB2312" w:hAnsi="宋体" w:eastAsia="仿宋_GB2312" w:cs="仿宋_GB2312"/>
          <w:b/>
          <w:color w:val="000000"/>
          <w:kern w:val="0"/>
          <w:sz w:val="32"/>
          <w:szCs w:val="32"/>
          <w:lang w:bidi="ar"/>
        </w:rPr>
        <w:t>灾害防治及应急管理支出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应急管理事务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）其他应急管理事务</w:t>
      </w:r>
      <w:r>
        <w:rPr>
          <w:rFonts w:ascii="仿宋_GB2312" w:hAnsi="宋体" w:eastAsia="仿宋_GB2312" w:cs="仿宋_GB2312"/>
          <w:b/>
          <w:color w:val="000000"/>
          <w:kern w:val="0"/>
          <w:sz w:val="32"/>
          <w:szCs w:val="32"/>
          <w:lang w:bidi="ar"/>
        </w:rPr>
        <w:t xml:space="preserve">（项）。 </w:t>
      </w:r>
    </w:p>
    <w:p>
      <w:pPr>
        <w:widowControl/>
        <w:ind w:firstLine="960" w:firstLineChars="3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bidi="ar"/>
        </w:rPr>
        <w:t>32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31.67</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bidi="ar"/>
        </w:rPr>
        <w:t>98.97</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基本持平。</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bidi="ar"/>
        </w:rPr>
        <w:t>177.89</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bidi="ar"/>
        </w:rPr>
        <w:t>168.23</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bidi="ar"/>
        </w:rPr>
        <w:t>9.66</w:t>
      </w:r>
      <w:r>
        <w:rPr>
          <w:rFonts w:ascii="仿宋_GB2312" w:hAnsi="仿宋_GB2312" w:eastAsia="仿宋_GB2312" w:cs="仿宋_GB2312"/>
          <w:color w:val="000000"/>
          <w:kern w:val="0"/>
          <w:sz w:val="31"/>
          <w:szCs w:val="31"/>
          <w:lang w:bidi="ar"/>
        </w:rPr>
        <w:t>万元。</w:t>
      </w:r>
    </w:p>
    <w:p>
      <w:pPr>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bidi="ar"/>
        </w:rPr>
        <w:t>168.23</w:t>
      </w:r>
      <w:r>
        <w:rPr>
          <w:rFonts w:ascii="仿宋_GB2312" w:hAnsi="宋体" w:eastAsia="仿宋_GB2312" w:cs="仿宋_GB2312"/>
          <w:color w:val="000000"/>
          <w:kern w:val="0"/>
          <w:sz w:val="32"/>
          <w:szCs w:val="32"/>
          <w:lang w:bidi="ar"/>
        </w:rPr>
        <w:t>万元，主要包括基本工资</w:t>
      </w:r>
      <w:r>
        <w:rPr>
          <w:rFonts w:hint="eastAsia" w:ascii="仿宋_GB2312" w:hAnsi="宋体" w:eastAsia="仿宋_GB2312" w:cs="仿宋_GB2312"/>
          <w:color w:val="000000"/>
          <w:kern w:val="0"/>
          <w:sz w:val="32"/>
          <w:szCs w:val="32"/>
          <w:lang w:bidi="ar"/>
        </w:rPr>
        <w:t>55.13万元、津贴补贴36.47万元、奖金18.67万元、 伙食补助费 3.22万元、绩效工资18.28万元、 机关事业单位基本养老保险缴费17.3万元、住房公积金18.55万元 、抚恤金 0.54万元、奖励金0.06万元。</w:t>
      </w:r>
    </w:p>
    <w:p>
      <w:pPr>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bidi="ar"/>
        </w:rPr>
        <w:t>9.66</w:t>
      </w:r>
      <w:r>
        <w:rPr>
          <w:rFonts w:ascii="仿宋_GB2312" w:hAnsi="宋体" w:eastAsia="仿宋_GB2312" w:cs="仿宋_GB2312"/>
          <w:color w:val="000000"/>
          <w:kern w:val="0"/>
          <w:sz w:val="32"/>
          <w:szCs w:val="32"/>
          <w:lang w:bidi="ar"/>
        </w:rPr>
        <w:t>万元，主要包括办公费</w:t>
      </w:r>
      <w:r>
        <w:rPr>
          <w:rFonts w:hint="eastAsia" w:ascii="仿宋_GB2312" w:hAnsi="宋体" w:eastAsia="仿宋_GB2312" w:cs="仿宋_GB2312"/>
          <w:color w:val="000000"/>
          <w:kern w:val="0"/>
          <w:sz w:val="32"/>
          <w:szCs w:val="32"/>
          <w:lang w:bidi="ar"/>
        </w:rPr>
        <w:t xml:space="preserve">0.21万元、印刷费0.32 </w:t>
      </w:r>
      <w:r>
        <w:rPr>
          <w:rFonts w:ascii="仿宋_GB2312" w:hAnsi="宋体" w:eastAsia="仿宋_GB2312" w:cs="仿宋_GB2312"/>
          <w:color w:val="000000"/>
          <w:kern w:val="0"/>
          <w:sz w:val="32"/>
          <w:szCs w:val="32"/>
          <w:lang w:bidi="ar"/>
        </w:rPr>
        <w:t xml:space="preserve"> </w:t>
      </w:r>
      <w:r>
        <w:rPr>
          <w:rFonts w:hint="eastAsia" w:ascii="仿宋_GB2312" w:hAnsi="宋体" w:eastAsia="仿宋_GB2312" w:cs="仿宋_GB2312"/>
          <w:color w:val="000000"/>
          <w:kern w:val="0"/>
          <w:sz w:val="32"/>
          <w:szCs w:val="32"/>
          <w:lang w:bidi="ar"/>
        </w:rPr>
        <w:t>万元、手续费0.01万元、水费0.18万元、电费0.75万元、邮电费2.77万元、差旅费0.22万元、维修（护）费0.17万元、公务接待费0.42万元、工会经费1.9万元、其他交通费用2.69万元。</w:t>
      </w:r>
    </w:p>
    <w:p>
      <w:pPr>
        <w:widowControl/>
        <w:jc w:val="left"/>
      </w:pP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bidi="ar"/>
        </w:rPr>
        <w:t>1.46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0.42</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28.77</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减少1.04万元，</w:t>
      </w:r>
      <w:r>
        <w:rPr>
          <w:rFonts w:ascii="仿宋_GB2312" w:hAnsi="宋体" w:eastAsia="仿宋_GB2312" w:cs="仿宋_GB2312"/>
          <w:i w:val="0"/>
          <w:caps w:val="0"/>
          <w:color w:val="000000"/>
          <w:spacing w:val="0"/>
          <w:sz w:val="32"/>
          <w:szCs w:val="32"/>
        </w:rPr>
        <w:t>车辆不属于应急局，是政府调剂使用车辆，故车辆费用未计入公务用车运行费，计入其他交通费用</w:t>
      </w:r>
      <w:r>
        <w:rPr>
          <w:rFonts w:hint="eastAsia" w:ascii="仿宋_GB2312" w:hAnsi="宋体" w:eastAsia="仿宋_GB2312" w:cs="仿宋_GB2312"/>
          <w:i w:val="0"/>
          <w:caps w:val="0"/>
          <w:color w:val="000000"/>
          <w:spacing w:val="0"/>
          <w:sz w:val="32"/>
          <w:szCs w:val="32"/>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费支出0万元，占0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bidi="ar"/>
        </w:rPr>
        <w:t>0.42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0%。</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1.03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0%，决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减少1.03万元，</w:t>
      </w:r>
      <w:r>
        <w:rPr>
          <w:rFonts w:ascii="仿宋_GB2312" w:hAnsi="宋体" w:eastAsia="仿宋_GB2312" w:cs="仿宋_GB2312"/>
          <w:i w:val="0"/>
          <w:caps w:val="0"/>
          <w:color w:val="000000"/>
          <w:spacing w:val="0"/>
          <w:sz w:val="32"/>
          <w:szCs w:val="32"/>
        </w:rPr>
        <w:t>车辆不属于应急局，是政府调剂使用车辆，故车辆费用未计入公务用车运行费，计入其他交通费用</w:t>
      </w:r>
      <w:r>
        <w:rPr>
          <w:rFonts w:hint="eastAsia" w:ascii="仿宋_GB2312" w:hAnsi="宋体" w:eastAsia="仿宋_GB2312" w:cs="仿宋_GB2312"/>
          <w:i w:val="0"/>
          <w:caps w:val="0"/>
          <w:color w:val="000000"/>
          <w:spacing w:val="0"/>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2批次，60人次，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*0.43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0.42</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97.67%，决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基本持平。</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29.6</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rPr>
        <w:t>组织对 2019年</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color w:val="000000"/>
          <w:kern w:val="0"/>
          <w:sz w:val="31"/>
          <w:szCs w:val="31"/>
          <w:lang w:eastAsia="zh-CN"/>
        </w:rPr>
        <w:t>安全监管</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98</w:t>
      </w:r>
      <w:r>
        <w:rPr>
          <w:rFonts w:ascii="仿宋_GB2312" w:hAnsi="仿宋_GB2312" w:eastAsia="仿宋_GB2312" w:cs="仿宋_GB2312"/>
          <w:color w:val="000000"/>
          <w:kern w:val="0"/>
          <w:sz w:val="31"/>
          <w:szCs w:val="31"/>
        </w:rPr>
        <w:t>分。项</w:t>
      </w:r>
      <w:r>
        <w:rPr>
          <w:rFonts w:hint="default" w:ascii="Times New Roman" w:hAnsi="Times New Roman" w:eastAsia="仿宋_GB2312" w:cs="Times New Roman"/>
          <w:sz w:val="32"/>
          <w:lang w:val="en-US" w:eastAsia="zh-CN"/>
        </w:rPr>
        <w:t>目全年预算数</w:t>
      </w:r>
      <w:r>
        <w:rPr>
          <w:rFonts w:hint="eastAsia" w:ascii="Times New Roman" w:hAnsi="Times New Roman" w:eastAsia="仿宋_GB2312" w:cs="Times New Roman"/>
          <w:sz w:val="32"/>
          <w:lang w:val="en-US" w:eastAsia="zh-CN"/>
        </w:rPr>
        <w:t>30</w:t>
      </w:r>
      <w:r>
        <w:rPr>
          <w:rFonts w:hint="default" w:ascii="Times New Roman" w:hAnsi="Times New Roman" w:eastAsia="仿宋_GB2312" w:cs="Times New Roman"/>
          <w:sz w:val="32"/>
          <w:lang w:val="en-US" w:eastAsia="zh-CN"/>
        </w:rPr>
        <w:t>万元，</w:t>
      </w:r>
      <w:r>
        <w:rPr>
          <w:rFonts w:ascii="仿宋_GB2312" w:hAnsi="仿宋_GB2312" w:eastAsia="仿宋_GB2312" w:cs="仿宋_GB2312"/>
          <w:color w:val="000000"/>
          <w:kern w:val="0"/>
          <w:sz w:val="31"/>
          <w:szCs w:val="31"/>
        </w:rPr>
        <w:t xml:space="preserve">执行数 </w:t>
      </w:r>
      <w:r>
        <w:rPr>
          <w:rFonts w:hint="eastAsia" w:ascii="仿宋_GB2312" w:hAnsi="仿宋_GB2312" w:eastAsia="仿宋_GB2312" w:cs="仿宋_GB2312"/>
          <w:color w:val="000000"/>
          <w:kern w:val="0"/>
          <w:sz w:val="31"/>
          <w:szCs w:val="31"/>
          <w:lang w:val="en-US" w:eastAsia="zh-CN"/>
        </w:rPr>
        <w:t>29.6</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98.67</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lang w:eastAsia="zh-CN"/>
        </w:rPr>
        <w:t>全区全年</w:t>
      </w:r>
      <w:r>
        <w:rPr>
          <w:rFonts w:hint="default" w:ascii="Times New Roman" w:hAnsi="Times New Roman" w:eastAsia="仿宋_GB2312" w:cs="Times New Roman"/>
          <w:sz w:val="32"/>
          <w:lang w:val="en-US" w:eastAsia="zh-CN"/>
        </w:rPr>
        <w:t>未发生较大生产安全事故，全区安全生产形势总体稳定。</w:t>
      </w:r>
      <w:r>
        <w:rPr>
          <w:rFonts w:hint="eastAsia" w:ascii="仿宋_GB2312" w:hAnsi="仿宋_GB2312" w:eastAsia="仿宋_GB2312" w:cs="仿宋_GB2312"/>
          <w:color w:val="000000"/>
          <w:kern w:val="0"/>
          <w:sz w:val="31"/>
          <w:szCs w:val="31"/>
          <w:lang w:eastAsia="zh-CN"/>
        </w:rPr>
        <w:t>群众安全生产意识</w:t>
      </w:r>
      <w:r>
        <w:rPr>
          <w:rFonts w:hint="eastAsia" w:ascii="仿宋_GB2312" w:hAnsi="仿宋_GB2312" w:eastAsia="仿宋_GB2312" w:cs="仿宋_GB2312"/>
          <w:color w:val="000000"/>
          <w:kern w:val="0"/>
          <w:sz w:val="31"/>
          <w:szCs w:val="31"/>
        </w:rPr>
        <w:t>不断加强</w:t>
      </w:r>
      <w:r>
        <w:rPr>
          <w:rFonts w:hint="eastAsia" w:ascii="仿宋_GB2312" w:hAnsi="仿宋_GB2312" w:eastAsia="仿宋_GB2312" w:cs="仿宋_GB2312"/>
          <w:color w:val="000000"/>
          <w:kern w:val="0"/>
          <w:sz w:val="31"/>
          <w:szCs w:val="31"/>
          <w:lang w:eastAsia="zh-CN"/>
        </w:rPr>
        <w:t>。但仍存在执法人员业务水平不高，后续我们要加大宣传执法力度及</w:t>
      </w:r>
      <w:r>
        <w:rPr>
          <w:rFonts w:hint="eastAsia" w:ascii="Times New Roman" w:hAnsi="Times New Roman" w:eastAsia="仿宋_GB2312" w:cs="Times New Roman"/>
          <w:color w:val="000000"/>
          <w:kern w:val="2"/>
          <w:sz w:val="32"/>
          <w:szCs w:val="32"/>
          <w:lang w:val="en-US" w:eastAsia="zh-CN" w:bidi="ar-SA"/>
        </w:rPr>
        <w:t>业务知识的学习培训，全面提升工作能力和水平。</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w:t>
      </w:r>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574.5pt;width:555.9pt;" o:ole="t" filled="f" o:preferrelative="t" stroked="f" coordsize="21600,2160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35.15pt;width:632.1pt;" o:ole="t" filled="f" o:preferrelative="t" stroked="f" coordsize="21600,21600">
            <v:path/>
            <v:fill on="f" focussize="0,0"/>
            <v:stroke on="f"/>
            <v:imagedata r:id="rId16" o:title=""/>
            <o:lock v:ext="edit" aspectratio="t"/>
            <w10:wrap type="none"/>
            <w10:anchorlock/>
          </v:shape>
          <o:OLEObject Type="Embed" ProgID="Excel.Sheet.8" ShapeID="_x0000_i1026" DrawAspect="Content" ObjectID="_1468075726" r:id="rId15">
            <o:LockedField>false</o:LockedField>
          </o:OLEObject>
        </w:object>
      </w:r>
    </w:p>
    <w:p>
      <w:pPr>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9.66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9.66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决算数较预算数持平。</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截至2019年末，本部门机关及所属单位共有车辆0辆；单价50万元以上的通用设备0台（套）；单价100万元以上的专用设备0台（套）。201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bookmarkStart w:id="0" w:name="_GoBack"/>
      <w:bookmarkEnd w:id="0"/>
      <w:r>
        <w:rPr>
          <w:rFonts w:hint="eastAsia" w:ascii="仿宋_GB2312" w:hAnsi="仿宋_GB2312" w:eastAsia="仿宋_GB2312" w:cs="仿宋_GB2312"/>
          <w:sz w:val="32"/>
          <w:szCs w:val="32"/>
        </w:rPr>
        <w:t>辆；购置单价50万元以上的通用设备0台（套）；购置单价100万元以上的专用设备0台（套）。</w:t>
      </w: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13B79AC"/>
    <w:rsid w:val="064A54F7"/>
    <w:rsid w:val="125E2600"/>
    <w:rsid w:val="132E46A0"/>
    <w:rsid w:val="144056D6"/>
    <w:rsid w:val="14411117"/>
    <w:rsid w:val="1586116E"/>
    <w:rsid w:val="18BB4AD7"/>
    <w:rsid w:val="1B4A3FDA"/>
    <w:rsid w:val="1B524C98"/>
    <w:rsid w:val="1C5E2F73"/>
    <w:rsid w:val="1D6E0C0D"/>
    <w:rsid w:val="221C15BB"/>
    <w:rsid w:val="29785A6B"/>
    <w:rsid w:val="2C1637EB"/>
    <w:rsid w:val="2D1F3974"/>
    <w:rsid w:val="2DB52EF2"/>
    <w:rsid w:val="31AA6038"/>
    <w:rsid w:val="33887EE3"/>
    <w:rsid w:val="34677C61"/>
    <w:rsid w:val="3B121AD1"/>
    <w:rsid w:val="3CFD0D2E"/>
    <w:rsid w:val="41603979"/>
    <w:rsid w:val="41CF436B"/>
    <w:rsid w:val="4619368A"/>
    <w:rsid w:val="471F2499"/>
    <w:rsid w:val="4D6E0FDF"/>
    <w:rsid w:val="4EE4307A"/>
    <w:rsid w:val="5153143F"/>
    <w:rsid w:val="52452529"/>
    <w:rsid w:val="54F12DEE"/>
    <w:rsid w:val="5643250D"/>
    <w:rsid w:val="5B8D564A"/>
    <w:rsid w:val="65074FBA"/>
    <w:rsid w:val="69512523"/>
    <w:rsid w:val="6A36160B"/>
    <w:rsid w:val="71086DB5"/>
    <w:rsid w:val="7288450F"/>
    <w:rsid w:val="75C31473"/>
    <w:rsid w:val="7C3E5E46"/>
    <w:rsid w:val="7C5B5A63"/>
    <w:rsid w:val="7E2219C9"/>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sz w:val="24"/>
      <w:szCs w:val="24"/>
    </w:r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3"/>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6032;&#24314;%20Microsoft%20Excel%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p\Desktop\&#26032;&#24314;%20Microsoft%20Excel%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p\Desktop\&#26032;&#24314;%20Microsoft%20Excel%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p\Desktop\&#26032;&#24314;%20Microsoft%20Excel%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esktop\&#26032;&#24314;%20Microsoft%20Excel%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p\Desktop\&#26032;&#24314;%20Microsoft%20Excel%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p\Desktop\&#26032;&#24314;%20Microsoft%20Excel%20&#24037;&#20316;&#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hp\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杨陵区应急管理局人员分析图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Sheet8!$E$3</c:f>
              <c:strCache>
                <c:ptCount val="1"/>
                <c:pt idx="0">
                  <c:v>编制</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Sheet8!$D$4:$D$6</c:f>
              <c:strCache>
                <c:ptCount val="3"/>
                <c:pt idx="0">
                  <c:v>行政人员</c:v>
                </c:pt>
                <c:pt idx="1">
                  <c:v>事业人员</c:v>
                </c:pt>
                <c:pt idx="2">
                  <c:v>离退休人员</c:v>
                </c:pt>
              </c:strCache>
            </c:strRef>
          </c:cat>
          <c:val>
            <c:numRef>
              <c:f>Sheet8!$E$4:$E$6</c:f>
              <c:numCache>
                <c:formatCode>General</c:formatCode>
                <c:ptCount val="3"/>
                <c:pt idx="0">
                  <c:v>6</c:v>
                </c:pt>
                <c:pt idx="1">
                  <c:v>12</c:v>
                </c:pt>
              </c:numCache>
            </c:numRef>
          </c:val>
        </c:ser>
        <c:ser>
          <c:idx val="1"/>
          <c:order val="1"/>
          <c:tx>
            <c:strRef>
              <c:f>Sheet8!$F$3</c:f>
              <c:strCache>
                <c:ptCount val="1"/>
                <c:pt idx="0">
                  <c:v>实有人数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Sheet8!$D$4:$D$6</c:f>
              <c:strCache>
                <c:ptCount val="3"/>
                <c:pt idx="0">
                  <c:v>行政人员</c:v>
                </c:pt>
                <c:pt idx="1">
                  <c:v>事业人员</c:v>
                </c:pt>
                <c:pt idx="2">
                  <c:v>离退休人员</c:v>
                </c:pt>
              </c:strCache>
            </c:strRef>
          </c:cat>
          <c:val>
            <c:numRef>
              <c:f>Sheet8!$F$4:$F$6</c:f>
              <c:numCache>
                <c:formatCode>General</c:formatCode>
                <c:ptCount val="3"/>
                <c:pt idx="0">
                  <c:v>8</c:v>
                </c:pt>
                <c:pt idx="1">
                  <c:v>6</c:v>
                </c:pt>
                <c:pt idx="2">
                  <c:v>2</c:v>
                </c:pt>
              </c:numCache>
            </c:numRef>
          </c:val>
        </c:ser>
        <c:dLbls>
          <c:showLegendKey val="0"/>
          <c:showVal val="0"/>
          <c:showCatName val="0"/>
          <c:showSerName val="0"/>
          <c:showPercent val="0"/>
          <c:showBubbleSize val="0"/>
        </c:dLbls>
        <c:gapWidth val="219"/>
        <c:overlap val="-27"/>
        <c:axId val="459844288"/>
        <c:axId val="387050784"/>
      </c:barChart>
      <c:catAx>
        <c:axId val="45984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050784"/>
        <c:crosses val="autoZero"/>
        <c:auto val="1"/>
        <c:lblAlgn val="ctr"/>
        <c:lblOffset val="100"/>
        <c:noMultiLvlLbl val="0"/>
      </c:catAx>
      <c:valAx>
        <c:axId val="387050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9844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杨陵区应急管理局收入分析图</a:t>
            </a:r>
            <a:endParaRPr lang="zh-CN" altLang="en-US"/>
          </a:p>
        </c:rich>
      </c:tx>
      <c:layout>
        <c:manualLayout>
          <c:xMode val="edge"/>
          <c:yMode val="edge"/>
          <c:x val="0.152777777777778"/>
          <c:y val="0.037037037037037"/>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Sheet1!$C$5:$C$6</c:f>
              <c:strCache>
                <c:ptCount val="2"/>
                <c:pt idx="0">
                  <c:v>2019年收入</c:v>
                </c:pt>
                <c:pt idx="1">
                  <c:v>2018年收入</c:v>
                </c:pt>
              </c:strCache>
            </c:strRef>
          </c:cat>
          <c:val>
            <c:numRef>
              <c:f>Sheet1!$D$5:$D$6</c:f>
              <c:numCache>
                <c:formatCode>General</c:formatCode>
                <c:ptCount val="2"/>
                <c:pt idx="0">
                  <c:v>309.41</c:v>
                </c:pt>
                <c:pt idx="1">
                  <c:v>366.74</c:v>
                </c:pt>
              </c:numCache>
            </c:numRef>
          </c:val>
        </c:ser>
        <c:dLbls>
          <c:showLegendKey val="0"/>
          <c:showVal val="0"/>
          <c:showCatName val="0"/>
          <c:showSerName val="0"/>
          <c:showPercent val="0"/>
          <c:showBubbleSize val="0"/>
        </c:dLbls>
        <c:gapWidth val="150"/>
        <c:overlap val="100"/>
        <c:axId val="2055834495"/>
        <c:axId val="2054686079"/>
      </c:barChart>
      <c:catAx>
        <c:axId val="2055834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4686079"/>
        <c:crosses val="autoZero"/>
        <c:auto val="1"/>
        <c:lblAlgn val="ctr"/>
        <c:lblOffset val="100"/>
        <c:noMultiLvlLbl val="0"/>
      </c:catAx>
      <c:valAx>
        <c:axId val="2054686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58344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杨陵区应急管理局支出分析图</a:t>
            </a:r>
            <a:endParaRPr lang="zh-CN" altLang="en-US"/>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Sheet2!$C$5:$C$6</c:f>
              <c:strCache>
                <c:ptCount val="2"/>
                <c:pt idx="0">
                  <c:v>2019年支出</c:v>
                </c:pt>
                <c:pt idx="1">
                  <c:v>2018年支出</c:v>
                </c:pt>
              </c:strCache>
            </c:strRef>
          </c:cat>
          <c:val>
            <c:numRef>
              <c:f>Sheet2!$D$5:$D$6</c:f>
              <c:numCache>
                <c:formatCode>General</c:formatCode>
                <c:ptCount val="2"/>
                <c:pt idx="0">
                  <c:v>308</c:v>
                </c:pt>
                <c:pt idx="1">
                  <c:v>348.98</c:v>
                </c:pt>
              </c:numCache>
            </c:numRef>
          </c:val>
        </c:ser>
        <c:dLbls>
          <c:showLegendKey val="0"/>
          <c:showVal val="0"/>
          <c:showCatName val="0"/>
          <c:showSerName val="0"/>
          <c:showPercent val="0"/>
          <c:showBubbleSize val="0"/>
        </c:dLbls>
        <c:gapWidth val="150"/>
        <c:overlap val="100"/>
        <c:axId val="1607935119"/>
        <c:axId val="2054697311"/>
      </c:barChart>
      <c:catAx>
        <c:axId val="1607935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4697311"/>
        <c:crosses val="autoZero"/>
        <c:auto val="1"/>
        <c:lblAlgn val="ctr"/>
        <c:lblOffset val="100"/>
        <c:noMultiLvlLbl val="0"/>
      </c:catAx>
      <c:valAx>
        <c:axId val="2054697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79351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杨陵区应急管理局收入分析图</a:t>
            </a:r>
            <a:endParaRPr lang="zh-CN" altLang="en-US"/>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Sheet3!$D$6:$D$7</c:f>
              <c:strCache>
                <c:ptCount val="2"/>
                <c:pt idx="0">
                  <c:v>财政拨款收入</c:v>
                </c:pt>
                <c:pt idx="1">
                  <c:v>其他收入</c:v>
                </c:pt>
              </c:strCache>
            </c:strRef>
          </c:cat>
          <c:val>
            <c:numRef>
              <c:f>Sheet3!$E$6:$E$7</c:f>
              <c:numCache>
                <c:formatCode>General</c:formatCode>
                <c:ptCount val="2"/>
                <c:pt idx="0">
                  <c:v>207.49</c:v>
                </c:pt>
                <c:pt idx="1">
                  <c:v>101.92</c:v>
                </c:pt>
              </c:numCache>
            </c:numRef>
          </c:val>
        </c:ser>
        <c:dLbls>
          <c:showLegendKey val="0"/>
          <c:showVal val="0"/>
          <c:showCatName val="0"/>
          <c:showSerName val="0"/>
          <c:showPercent val="0"/>
          <c:showBubbleSize val="0"/>
        </c:dLbls>
        <c:gapWidth val="150"/>
        <c:overlap val="100"/>
        <c:axId val="2053784943"/>
        <c:axId val="1830791455"/>
      </c:barChart>
      <c:catAx>
        <c:axId val="205378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0791455"/>
        <c:crosses val="autoZero"/>
        <c:auto val="1"/>
        <c:lblAlgn val="ctr"/>
        <c:lblOffset val="100"/>
        <c:noMultiLvlLbl val="0"/>
      </c:catAx>
      <c:valAx>
        <c:axId val="1830791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7849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杨陵区应急管理局支出分析图</a:t>
            </a:r>
            <a:endParaRPr lang="zh-CN" altLang="en-US"/>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Sheet4!$D$6:$D$7</c:f>
              <c:strCache>
                <c:ptCount val="2"/>
                <c:pt idx="0">
                  <c:v>基本支出</c:v>
                </c:pt>
                <c:pt idx="1">
                  <c:v>项目支出</c:v>
                </c:pt>
              </c:strCache>
            </c:strRef>
          </c:cat>
          <c:val>
            <c:numRef>
              <c:f>Sheet4!$E$6:$E$7</c:f>
              <c:numCache>
                <c:formatCode>General</c:formatCode>
                <c:ptCount val="2"/>
                <c:pt idx="0">
                  <c:v>179.08</c:v>
                </c:pt>
                <c:pt idx="1">
                  <c:v>128.92</c:v>
                </c:pt>
              </c:numCache>
            </c:numRef>
          </c:val>
        </c:ser>
        <c:dLbls>
          <c:showLegendKey val="0"/>
          <c:showVal val="0"/>
          <c:showCatName val="0"/>
          <c:showSerName val="0"/>
          <c:showPercent val="0"/>
          <c:showBubbleSize val="0"/>
        </c:dLbls>
        <c:gapWidth val="150"/>
        <c:overlap val="100"/>
        <c:axId val="1921894991"/>
        <c:axId val="1932046879"/>
      </c:barChart>
      <c:catAx>
        <c:axId val="192189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2046879"/>
        <c:crosses val="autoZero"/>
        <c:auto val="1"/>
        <c:lblAlgn val="ctr"/>
        <c:lblOffset val="100"/>
        <c:noMultiLvlLbl val="0"/>
      </c:catAx>
      <c:valAx>
        <c:axId val="1932046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1894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杨陵区应急管理局财政拨款收入分析图</a:t>
            </a:r>
            <a:endParaRPr lang="zh-CN" altLang="en-US"/>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Sheet5!$E$7:$E$8</c:f>
              <c:strCache>
                <c:ptCount val="2"/>
                <c:pt idx="0">
                  <c:v>2019年财政拨款收入</c:v>
                </c:pt>
                <c:pt idx="1">
                  <c:v>2018年财政拨款收入</c:v>
                </c:pt>
              </c:strCache>
            </c:strRef>
          </c:cat>
          <c:val>
            <c:numRef>
              <c:f>Sheet5!$F$7:$F$8</c:f>
              <c:numCache>
                <c:formatCode>General</c:formatCode>
                <c:ptCount val="2"/>
                <c:pt idx="0">
                  <c:v>207.49</c:v>
                </c:pt>
                <c:pt idx="1">
                  <c:v>346.09</c:v>
                </c:pt>
              </c:numCache>
            </c:numRef>
          </c:val>
        </c:ser>
        <c:dLbls>
          <c:showLegendKey val="0"/>
          <c:showVal val="0"/>
          <c:showCatName val="0"/>
          <c:showSerName val="0"/>
          <c:showPercent val="0"/>
          <c:showBubbleSize val="0"/>
        </c:dLbls>
        <c:gapWidth val="150"/>
        <c:overlap val="100"/>
        <c:axId val="1934265519"/>
        <c:axId val="2062832175"/>
      </c:barChart>
      <c:catAx>
        <c:axId val="1934265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2832175"/>
        <c:crosses val="autoZero"/>
        <c:auto val="1"/>
        <c:lblAlgn val="ctr"/>
        <c:lblOffset val="100"/>
        <c:noMultiLvlLbl val="0"/>
      </c:catAx>
      <c:valAx>
        <c:axId val="2062832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42655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杨陵区应急管理局财政拨款支出分析图</a:t>
            </a:r>
            <a:endParaRPr lang="zh-CN" altLang="en-US"/>
          </a:p>
        </c:rich>
      </c:tx>
      <c:layout/>
      <c:overlay val="0"/>
      <c:spPr>
        <a:noFill/>
        <a:ln>
          <a:noFill/>
        </a:ln>
        <a:effectLst/>
      </c:spPr>
    </c:title>
    <c:autoTitleDeleted val="0"/>
    <c:plotArea>
      <c:layout>
        <c:manualLayout>
          <c:layoutTarget val="inner"/>
          <c:xMode val="edge"/>
          <c:yMode val="edge"/>
          <c:x val="0.087580927384077"/>
          <c:y val="0.180393700787402"/>
          <c:w val="0.890196850393701"/>
          <c:h val="0.70665135608049"/>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Sheet6!$D$4:$D$5</c:f>
              <c:strCache>
                <c:ptCount val="2"/>
                <c:pt idx="0">
                  <c:v>2019年财政拨款支出</c:v>
                </c:pt>
                <c:pt idx="1">
                  <c:v>2018年财政拨款支出</c:v>
                </c:pt>
              </c:strCache>
            </c:strRef>
          </c:cat>
          <c:val>
            <c:numRef>
              <c:f>Sheet6!$E$4:$E$5</c:f>
              <c:numCache>
                <c:formatCode>General</c:formatCode>
                <c:ptCount val="2"/>
                <c:pt idx="0">
                  <c:v>207.49</c:v>
                </c:pt>
                <c:pt idx="1">
                  <c:v>347.66</c:v>
                </c:pt>
              </c:numCache>
            </c:numRef>
          </c:val>
        </c:ser>
        <c:dLbls>
          <c:showLegendKey val="0"/>
          <c:showVal val="0"/>
          <c:showCatName val="0"/>
          <c:showSerName val="0"/>
          <c:showPercent val="0"/>
          <c:showBubbleSize val="0"/>
        </c:dLbls>
        <c:gapWidth val="150"/>
        <c:overlap val="100"/>
        <c:axId val="2050374895"/>
        <c:axId val="2055767167"/>
      </c:barChart>
      <c:catAx>
        <c:axId val="2050374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5767167"/>
        <c:crosses val="autoZero"/>
        <c:auto val="1"/>
        <c:lblAlgn val="ctr"/>
        <c:lblOffset val="100"/>
        <c:noMultiLvlLbl val="0"/>
      </c:catAx>
      <c:valAx>
        <c:axId val="2055767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03748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杨陵区应急管理局支出分析图</a:t>
            </a:r>
            <a:endParaRPr lang="zh-CN" altLang="en-US"/>
          </a:p>
        </c:rich>
      </c:tx>
      <c:layout>
        <c:manualLayout>
          <c:xMode val="edge"/>
          <c:yMode val="edge"/>
          <c:x val="0.413888888888889"/>
          <c:y val="0.037037037037037"/>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Sheet7!$E$5:$E$6</c:f>
              <c:strCache>
                <c:ptCount val="2"/>
                <c:pt idx="0">
                  <c:v>财政拨款支出</c:v>
                </c:pt>
                <c:pt idx="1">
                  <c:v>其他资金支出</c:v>
                </c:pt>
              </c:strCache>
            </c:strRef>
          </c:cat>
          <c:val>
            <c:numRef>
              <c:f>Sheet7!$F$5:$F$6</c:f>
              <c:numCache>
                <c:formatCode>General</c:formatCode>
                <c:ptCount val="2"/>
                <c:pt idx="0">
                  <c:v>207.49</c:v>
                </c:pt>
                <c:pt idx="1">
                  <c:v>100.51</c:v>
                </c:pt>
              </c:numCache>
            </c:numRef>
          </c:val>
        </c:ser>
        <c:dLbls>
          <c:showLegendKey val="0"/>
          <c:showVal val="0"/>
          <c:showCatName val="0"/>
          <c:showSerName val="0"/>
          <c:showPercent val="0"/>
          <c:showBubbleSize val="0"/>
        </c:dLbls>
        <c:gapWidth val="150"/>
        <c:overlap val="100"/>
        <c:axId val="2047396927"/>
        <c:axId val="1823996447"/>
      </c:barChart>
      <c:catAx>
        <c:axId val="204739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3996447"/>
        <c:crosses val="autoZero"/>
        <c:auto val="1"/>
        <c:lblAlgn val="ctr"/>
        <c:lblOffset val="100"/>
        <c:noMultiLvlLbl val="0"/>
      </c:catAx>
      <c:valAx>
        <c:axId val="1823996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7396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5</TotalTime>
  <ScaleCrop>false</ScaleCrop>
  <LinksUpToDate>false</LinksUpToDate>
  <CharactersWithSpaces>8778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一一</cp:lastModifiedBy>
  <cp:lastPrinted>2020-07-28T02:12:00Z</cp:lastPrinted>
  <dcterms:modified xsi:type="dcterms:W3CDTF">2020-11-05T03:00:07Z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