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杨陵区信访局2019年部门决算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杨陵区信访局主要负责杨陵区信访工作。受理接待群众来信来访，处理信访案件，执行信访工作方针、政策及办法以及区委、区政府和上级部门交办的其他工作。信访接待中心为下属事业单位，财务未独立，与局机关统一核算。</w:t>
      </w:r>
    </w:p>
    <w:p>
      <w:pPr>
        <w:widowControl/>
        <w:numPr>
          <w:ilvl w:val="0"/>
          <w:numId w:val="1"/>
        </w:numPr>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pPr>
        <w:widowControl/>
        <w:ind w:firstLine="640" w:firstLineChars="200"/>
        <w:jc w:val="left"/>
        <w:rPr>
          <w:rFonts w:ascii="楷体" w:hAnsi="楷体" w:eastAsia="楷体" w:cs="楷体"/>
          <w:b/>
          <w:bCs/>
          <w:color w:val="000000"/>
          <w:kern w:val="0"/>
          <w:sz w:val="32"/>
          <w:szCs w:val="32"/>
        </w:rPr>
      </w:pPr>
      <w:r>
        <w:rPr>
          <w:rFonts w:hint="eastAsia" w:ascii="仿宋_GB2312" w:hAnsi="仿宋_GB2312" w:eastAsia="仿宋_GB2312" w:cs="仿宋_GB2312"/>
          <w:sz w:val="32"/>
          <w:szCs w:val="32"/>
        </w:rPr>
        <w:t>无</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纳入2019年本部门决算编制范围的单位共2个，包括本级及所属1个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杨陵区信访局本级（机关）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杨陵区信访接待中心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lang w:eastAsia="zh-CN"/>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截止2019年底，本部门人员编制8人，其中行政编制4人、事业编制4人；实有人员7人，其中行政3人、事业4人。单位管理的离退休人员6人。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74615" cy="2752725"/>
            <wp:effectExtent l="4445" t="4445" r="2159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本部门无</w:t>
            </w:r>
            <w:r>
              <w:rPr>
                <w:rFonts w:hint="eastAsia" w:ascii="宋体" w:hAnsi="宋体" w:cs="宋体"/>
                <w:color w:val="000000"/>
                <w:kern w:val="0"/>
                <w:sz w:val="24"/>
              </w:rPr>
              <w:t>“三公”经费及会议费、培训费支出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hAnsi="宋体"/>
                <w:color w:val="000000"/>
                <w:sz w:val="24"/>
              </w:rPr>
              <w:t>本部门无政府性基金决算收支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jc w:val="right"/>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130.59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3.97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130.59</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130.59</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130.59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130.59</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jc w:val="right"/>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97" w:type="dxa"/>
        <w:tblInd w:w="0" w:type="dxa"/>
        <w:tblLayout w:type="fixed"/>
        <w:tblCellMar>
          <w:top w:w="15" w:type="dxa"/>
          <w:left w:w="15" w:type="dxa"/>
          <w:bottom w:w="15" w:type="dxa"/>
          <w:right w:w="15" w:type="dxa"/>
        </w:tblCellMar>
      </w:tblPr>
      <w:tblGrid>
        <w:gridCol w:w="927"/>
        <w:gridCol w:w="1080"/>
        <w:gridCol w:w="885"/>
        <w:gridCol w:w="885"/>
        <w:gridCol w:w="600"/>
        <w:gridCol w:w="500"/>
        <w:gridCol w:w="1470"/>
        <w:gridCol w:w="750"/>
        <w:gridCol w:w="990"/>
        <w:gridCol w:w="810"/>
      </w:tblGrid>
      <w:tr>
        <w:tblPrEx>
          <w:tblCellMar>
            <w:top w:w="15" w:type="dxa"/>
            <w:left w:w="15" w:type="dxa"/>
            <w:bottom w:w="15" w:type="dxa"/>
            <w:right w:w="15" w:type="dxa"/>
          </w:tblCellMar>
        </w:tblPrEx>
        <w:trPr>
          <w:trHeight w:val="439" w:hRule="atLeast"/>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85" w:type="dxa"/>
            <w:vMerge w:val="restart"/>
            <w:tcBorders>
              <w:top w:val="single" w:color="000000" w:sz="4" w:space="0"/>
              <w:left w:val="single" w:color="000000" w:sz="4" w:space="0"/>
              <w:right w:val="single" w:color="000000" w:sz="4" w:space="0"/>
            </w:tcBorders>
            <w:vAlign w:val="center"/>
          </w:tcPr>
          <w:p>
            <w:pPr>
              <w:widowControl/>
              <w:tabs>
                <w:tab w:val="left" w:pos="585"/>
              </w:tabs>
              <w:jc w:val="left"/>
              <w:textAlignment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本年收入合计</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8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Cs w:val="21"/>
                <w:lang w:val="en-US" w:eastAsia="zh-CN"/>
              </w:rPr>
            </w:pPr>
            <w:r>
              <w:rPr>
                <w:rFonts w:hint="eastAsia" w:ascii="宋体" w:hAnsi="宋体" w:cs="宋体"/>
                <w:b w:val="0"/>
                <w:bCs w:val="0"/>
                <w:color w:val="000000"/>
                <w:kern w:val="0"/>
                <w:szCs w:val="21"/>
                <w:lang w:val="en-US" w:eastAsia="zh-CN"/>
              </w:rPr>
              <w:t>130.59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3.97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vAlign w:val="center"/>
          </w:tcPr>
          <w:p>
            <w:pPr>
              <w:ind w:firstLine="420" w:firstLineChars="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130.59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w:t>
            </w:r>
          </w:p>
        </w:tc>
      </w:tr>
      <w:tr>
        <w:tblPrEx>
          <w:tblCellMar>
            <w:top w:w="15" w:type="dxa"/>
            <w:left w:w="15" w:type="dxa"/>
            <w:bottom w:w="15" w:type="dxa"/>
            <w:right w:w="15" w:type="dxa"/>
          </w:tblCellMar>
        </w:tblPrEx>
        <w:trPr>
          <w:trHeight w:val="72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政府办公厅（室）及相关机构事务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130.59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52.44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信访事务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27.67</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2010350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事业运行</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47.71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47.71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8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2010399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其他政府办公厅（室）及相关机构事务支出</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2.77</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jc w:val="right"/>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769"/>
        <w:gridCol w:w="705"/>
        <w:gridCol w:w="986"/>
        <w:gridCol w:w="1077"/>
        <w:gridCol w:w="1109"/>
        <w:gridCol w:w="908"/>
        <w:gridCol w:w="1345"/>
      </w:tblGrid>
      <w:tr>
        <w:tblPrEx>
          <w:tblCellMar>
            <w:top w:w="15" w:type="dxa"/>
            <w:left w:w="15" w:type="dxa"/>
            <w:bottom w:w="15" w:type="dxa"/>
            <w:right w:w="15" w:type="dxa"/>
          </w:tblCellMar>
        </w:tblPrEx>
        <w:trPr>
          <w:trHeight w:val="372" w:hRule="atLeast"/>
        </w:trPr>
        <w:tc>
          <w:tcPr>
            <w:tcW w:w="27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7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130.59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100.15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30.44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1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130.59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100.15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02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政府办公室（室）及相关机构事务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130.59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100.15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2010301</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52.44</w:t>
            </w:r>
          </w:p>
        </w:tc>
        <w:tc>
          <w:tcPr>
            <w:tcW w:w="98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2010308</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信访事务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2010350</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事业运行</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47.71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2010399</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其他政府办公厅（室）及相关机构事务支出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jc w:val="right"/>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126.63</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126.63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jc w:val="right"/>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Cs/>
                <w:color w:val="000000"/>
                <w:kern w:val="0"/>
                <w:szCs w:val="21"/>
              </w:rPr>
              <w:t>126.63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Cs/>
                <w:color w:val="000000"/>
                <w:kern w:val="0"/>
                <w:szCs w:val="21"/>
              </w:rPr>
              <w:t>126.63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Cs/>
                <w:color w:val="000000"/>
                <w:kern w:val="0"/>
                <w:szCs w:val="21"/>
              </w:rPr>
              <w:t>126.63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Cs/>
                <w:color w:val="000000"/>
                <w:kern w:val="0"/>
                <w:szCs w:val="21"/>
              </w:rPr>
              <w:t>126.63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Cs/>
                <w:color w:val="000000"/>
                <w:kern w:val="0"/>
                <w:szCs w:val="21"/>
                <w:lang w:val="en-US" w:eastAsia="zh-CN"/>
              </w:rPr>
              <w:t>126.63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100.15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93.08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100.15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93.08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126.63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100.15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93.08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52.44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45.37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2010308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信访事务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23.70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23.70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47.71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0"/>
                <w:szCs w:val="21"/>
              </w:rPr>
              <w:t>其他政府办公厅（室）及相关机构事务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2.77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jc w:val="right"/>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1"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100.15</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93.08</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7.07</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92.43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92.43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27.65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cs="宋体"/>
                <w:color w:val="00000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17.55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17.55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9.71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0.19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0.58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1155" w:type="dxa"/>
            <w:tcBorders>
              <w:top w:val="single" w:color="000000" w:sz="4" w:space="0"/>
              <w:left w:val="single" w:color="000000" w:sz="4" w:space="0"/>
              <w:bottom w:val="single" w:color="000000" w:sz="4" w:space="0"/>
              <w:right w:val="single" w:color="000000" w:sz="4" w:space="0"/>
            </w:tcBorders>
            <w:vAlign w:val="center"/>
          </w:tcPr>
          <w:p>
            <w:pPr>
              <w:tabs>
                <w:tab w:val="left" w:pos="279"/>
              </w:tabs>
              <w:jc w:val="left"/>
              <w:rPr>
                <w:rFonts w:ascii="宋体" w:hAnsi="宋体" w:cs="宋体"/>
                <w:color w:val="000000"/>
                <w:szCs w:val="21"/>
              </w:rPr>
            </w:pPr>
            <w:r>
              <w:rPr>
                <w:rFonts w:hint="eastAsia" w:ascii="宋体" w:hAnsi="宋体" w:cs="宋体"/>
                <w:color w:val="000000"/>
                <w:szCs w:val="21"/>
              </w:rPr>
              <w:tab/>
            </w: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0.16</w:t>
            </w:r>
          </w:p>
        </w:tc>
        <w:tc>
          <w:tcPr>
            <w:tcW w:w="1155" w:type="dxa"/>
            <w:tcBorders>
              <w:top w:val="single" w:color="000000" w:sz="4" w:space="0"/>
              <w:left w:val="single" w:color="000000" w:sz="4" w:space="0"/>
              <w:bottom w:val="single" w:color="000000" w:sz="4" w:space="0"/>
              <w:right w:val="single" w:color="000000" w:sz="4" w:space="0"/>
            </w:tcBorders>
            <w:vAlign w:val="center"/>
          </w:tcPr>
          <w:p>
            <w:pPr>
              <w:tabs>
                <w:tab w:val="left" w:pos="279"/>
              </w:tabs>
              <w:jc w:val="lef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tabs>
                <w:tab w:val="left" w:pos="279"/>
              </w:tabs>
              <w:jc w:val="lef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tabs>
                <w:tab w:val="left" w:pos="279"/>
              </w:tabs>
              <w:jc w:val="left"/>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tabs>
                <w:tab w:val="left" w:pos="279"/>
              </w:tabs>
              <w:jc w:val="lef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jc w:val="right"/>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1.48</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color w:val="000000"/>
                <w:kern w:val="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0.45</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Cs/>
                <w:color w:val="000000"/>
                <w:kern w:val="0"/>
                <w:szCs w:val="21"/>
                <w:lang w:val="en-US" w:eastAsia="zh-CN"/>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jc w:val="right"/>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杨陵区信访局</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1.杨陵区信访局2019年度总收入130.59万元，较上年173.64万元减少</w:t>
      </w:r>
      <w:r>
        <w:rPr>
          <w:rFonts w:hint="eastAsia" w:ascii="仿宋_GB2312" w:hAnsi="仿宋_GB2312" w:eastAsia="仿宋_GB2312" w:cs="仿宋_GB2312"/>
          <w:sz w:val="32"/>
          <w:szCs w:val="32"/>
          <w:lang w:val="en-US" w:eastAsia="zh-CN"/>
        </w:rPr>
        <w:t>24.80%</w:t>
      </w:r>
      <w:r>
        <w:rPr>
          <w:rFonts w:hint="eastAsia" w:ascii="仿宋_GB2312" w:hAnsi="仿宋_GB2312" w:eastAsia="仿宋_GB2312" w:cs="仿宋_GB2312"/>
          <w:sz w:val="32"/>
          <w:szCs w:val="32"/>
        </w:rPr>
        <w:t>，主要原因是视频接访系统项目已建设完毕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支出减少。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2.杨陵区信访局2019年度总支出130.59万元，较上年173.64万元减少43.05万元，主要原因是视频接访系统项目已建设完毕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支出减少。</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96790" cy="3002280"/>
            <wp:effectExtent l="19050" t="0" r="22860" b="7620"/>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130.59</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126.63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96.96</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3.97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3.04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903470" cy="2758440"/>
            <wp:effectExtent l="19050" t="0" r="11430" b="381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130.59</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100.15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76.69</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30.44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23.31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815840" cy="2727960"/>
            <wp:effectExtent l="19050" t="0" r="2286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1.一般公共预算财政拨款收入支出总体情况及比上年增减情况。</w:t>
      </w:r>
    </w:p>
    <w:p>
      <w:pPr>
        <w:spacing w:line="560" w:lineRule="exact"/>
        <w:ind w:firstLine="640"/>
        <w:rPr>
          <w:rFonts w:ascii="仿宋_GB2312" w:hAnsi="仿宋_GB2312" w:eastAsia="仿宋_GB2312" w:cs="仿宋_GB2312"/>
          <w:sz w:val="32"/>
          <w:szCs w:val="32"/>
        </w:rPr>
      </w:pPr>
      <w:r>
        <w:rPr>
          <w:rFonts w:hint="eastAsia" w:ascii="仿宋" w:hAnsi="仿宋" w:eastAsia="仿宋"/>
          <w:sz w:val="32"/>
          <w:szCs w:val="32"/>
        </w:rPr>
        <w:t>1.杨陵区信访局</w:t>
      </w:r>
      <w:r>
        <w:rPr>
          <w:rFonts w:hint="eastAsia" w:ascii="仿宋" w:hAnsi="仿宋" w:eastAsia="仿宋"/>
          <w:sz w:val="32"/>
          <w:szCs w:val="32"/>
          <w:lang w:val="en-US" w:eastAsia="zh-CN"/>
        </w:rPr>
        <w:t>2019</w:t>
      </w:r>
      <w:r>
        <w:rPr>
          <w:rFonts w:hint="eastAsia" w:ascii="仿宋" w:hAnsi="仿宋" w:eastAsia="仿宋"/>
          <w:sz w:val="32"/>
          <w:szCs w:val="32"/>
        </w:rPr>
        <w:t>年度一般公共预算财政拨款收入126.63万元，较上年172.64万元减少</w:t>
      </w:r>
      <w:r>
        <w:rPr>
          <w:rFonts w:hint="eastAsia" w:ascii="仿宋" w:hAnsi="仿宋" w:eastAsia="仿宋"/>
          <w:sz w:val="32"/>
          <w:szCs w:val="32"/>
          <w:lang w:val="en-US" w:eastAsia="zh-CN"/>
        </w:rPr>
        <w:t>26.65%</w:t>
      </w:r>
      <w:r>
        <w:rPr>
          <w:rFonts w:hint="eastAsia" w:ascii="仿宋" w:hAnsi="仿宋" w:eastAsia="仿宋"/>
          <w:sz w:val="32"/>
          <w:szCs w:val="32"/>
        </w:rPr>
        <w:t>，主要原因是</w:t>
      </w:r>
      <w:r>
        <w:rPr>
          <w:rFonts w:hint="eastAsia" w:ascii="仿宋_GB2312" w:hAnsi="仿宋_GB2312" w:eastAsia="仿宋_GB2312" w:cs="仿宋_GB2312"/>
          <w:sz w:val="32"/>
          <w:szCs w:val="32"/>
        </w:rPr>
        <w:t>视频接访系统项目已建设完毕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支出减少。</w:t>
      </w:r>
    </w:p>
    <w:p>
      <w:pPr>
        <w:spacing w:line="560" w:lineRule="exact"/>
        <w:ind w:firstLine="640"/>
        <w:rPr>
          <w:rFonts w:hint="eastAsia" w:ascii="仿宋" w:hAnsi="仿宋" w:eastAsia="仿宋"/>
          <w:sz w:val="32"/>
          <w:szCs w:val="32"/>
        </w:rPr>
      </w:pPr>
      <w:r>
        <w:rPr>
          <w:rFonts w:hint="eastAsia" w:ascii="仿宋" w:hAnsi="仿宋" w:eastAsia="仿宋"/>
          <w:sz w:val="32"/>
          <w:szCs w:val="32"/>
        </w:rPr>
        <w:t>2.杨陵区信访局2019年度一般公共预算财政拨款支出126.63万元，较上年17</w:t>
      </w:r>
      <w:r>
        <w:rPr>
          <w:rFonts w:hint="eastAsia" w:ascii="仿宋" w:hAnsi="仿宋" w:eastAsia="仿宋"/>
          <w:sz w:val="32"/>
          <w:szCs w:val="32"/>
          <w:lang w:val="en-US" w:eastAsia="zh-CN"/>
        </w:rPr>
        <w:t>2.64</w:t>
      </w:r>
      <w:r>
        <w:rPr>
          <w:rFonts w:hint="eastAsia" w:ascii="仿宋" w:hAnsi="仿宋" w:eastAsia="仿宋"/>
          <w:sz w:val="32"/>
          <w:szCs w:val="32"/>
        </w:rPr>
        <w:t>万元减少</w:t>
      </w:r>
      <w:r>
        <w:rPr>
          <w:rFonts w:hint="eastAsia" w:ascii="仿宋" w:hAnsi="仿宋" w:eastAsia="仿宋"/>
          <w:sz w:val="32"/>
          <w:szCs w:val="32"/>
          <w:lang w:val="en-US" w:eastAsia="zh-CN"/>
        </w:rPr>
        <w:t>26.65%</w:t>
      </w:r>
      <w:r>
        <w:rPr>
          <w:rFonts w:hint="eastAsia" w:ascii="仿宋" w:hAnsi="仿宋" w:eastAsia="仿宋"/>
          <w:sz w:val="32"/>
          <w:szCs w:val="32"/>
        </w:rPr>
        <w:t>，主要原因是视频接访系统项目已建设完毕</w:t>
      </w:r>
      <w:r>
        <w:rPr>
          <w:rFonts w:hint="eastAsia" w:ascii="仿宋" w:hAnsi="仿宋" w:eastAsia="仿宋"/>
          <w:sz w:val="32"/>
          <w:szCs w:val="32"/>
          <w:lang w:eastAsia="zh-CN"/>
        </w:rPr>
        <w:t>，</w:t>
      </w:r>
      <w:r>
        <w:rPr>
          <w:rFonts w:hint="eastAsia" w:ascii="仿宋" w:hAnsi="仿宋" w:eastAsia="仿宋"/>
          <w:sz w:val="32"/>
          <w:szCs w:val="32"/>
          <w:lang w:val="en-US" w:eastAsia="zh-CN"/>
        </w:rPr>
        <w:t>项目</w:t>
      </w:r>
      <w:r>
        <w:rPr>
          <w:rFonts w:hint="eastAsia" w:ascii="仿宋" w:hAnsi="仿宋" w:eastAsia="仿宋"/>
          <w:sz w:val="32"/>
          <w:szCs w:val="32"/>
        </w:rPr>
        <w:t>支出减少。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126.63</w:t>
      </w:r>
      <w:r>
        <w:rPr>
          <w:rFonts w:ascii="仿宋_GB2312" w:hAnsi="宋体" w:eastAsia="仿宋_GB2312" w:cs="仿宋_GB2312"/>
          <w:color w:val="000000"/>
          <w:kern w:val="0"/>
          <w:sz w:val="32"/>
          <w:szCs w:val="32"/>
        </w:rPr>
        <w:t xml:space="preserve"> 万元，占本年支出合计的</w:t>
      </w:r>
      <w:r>
        <w:rPr>
          <w:rFonts w:hint="eastAsia" w:ascii="仿宋_GB2312" w:hAnsi="宋体" w:eastAsia="仿宋_GB2312" w:cs="仿宋_GB2312"/>
          <w:color w:val="000000"/>
          <w:kern w:val="0"/>
          <w:sz w:val="32"/>
          <w:szCs w:val="32"/>
        </w:rPr>
        <w:t>96.96</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46.01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26.65</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_GB2312" w:eastAsia="仿宋_GB2312" w:cs="仿宋_GB2312"/>
          <w:sz w:val="32"/>
          <w:szCs w:val="32"/>
        </w:rPr>
        <w:t>视频接访系统项目已建设完毕支出减少。</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宋体" w:eastAsia="仿宋_GB2312" w:cs="仿宋_GB2312"/>
          <w:color w:val="000000"/>
          <w:kern w:val="0"/>
          <w:sz w:val="32"/>
          <w:szCs w:val="32"/>
        </w:rPr>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159.86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126.63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79.21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lang w:val="en-US" w:eastAsia="zh-CN"/>
        </w:rPr>
        <w:t>政府办公厅（室）及相关机构事务</w:t>
      </w:r>
      <w:r>
        <w:rPr>
          <w:rFonts w:ascii="仿宋_GB2312" w:hAnsi="宋体" w:eastAsia="仿宋_GB2312" w:cs="仿宋_GB2312"/>
          <w:b/>
          <w:color w:val="000000"/>
          <w:kern w:val="0"/>
          <w:sz w:val="32"/>
          <w:szCs w:val="32"/>
        </w:rPr>
        <w:t xml:space="preserve">（款）行政运行（项）。 </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67.36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52.44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77.85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人员退休，各种费用减少。</w:t>
      </w:r>
    </w:p>
    <w:p>
      <w:pPr>
        <w:widowControl/>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lang w:val="en-US" w:eastAsia="zh-CN"/>
        </w:rPr>
        <w:t xml:space="preserve">    2.</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政府办公厅（室）及相关机构事务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信访事务</w:t>
      </w:r>
      <w:r>
        <w:rPr>
          <w:rFonts w:ascii="仿宋_GB2312" w:hAnsi="宋体" w:eastAsia="仿宋_GB2312" w:cs="仿宋_GB2312"/>
          <w:b/>
          <w:color w:val="000000"/>
          <w:kern w:val="0"/>
          <w:sz w:val="32"/>
          <w:szCs w:val="32"/>
        </w:rPr>
        <w:t>（项）。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47.43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23.70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49.97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特殊疑难信访资金项目给镇办调减指标（不计入本级支出），支出减少。</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政府办公厅（室）及相关机构事务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事业运行</w:t>
      </w:r>
      <w:r>
        <w:rPr>
          <w:rFonts w:ascii="仿宋_GB2312" w:hAnsi="宋体" w:eastAsia="仿宋_GB2312" w:cs="仿宋_GB2312"/>
          <w:b/>
          <w:color w:val="000000"/>
          <w:kern w:val="0"/>
          <w:sz w:val="32"/>
          <w:szCs w:val="32"/>
        </w:rPr>
        <w:t>（项）。</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45.07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47.71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b/>
          <w:bCs/>
          <w:color w:val="000000"/>
          <w:kern w:val="0"/>
          <w:sz w:val="32"/>
          <w:szCs w:val="32"/>
          <w:lang w:val="en-US" w:eastAsia="zh-CN"/>
        </w:rPr>
        <w:t>105.86</w:t>
      </w:r>
      <w:r>
        <w:rPr>
          <w:rFonts w:ascii="仿宋_GB2312" w:hAnsi="宋体" w:eastAsia="仿宋_GB2312" w:cs="仿宋_GB2312"/>
          <w:b/>
          <w:bCs/>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工资福利增长。</w:t>
      </w:r>
      <w:bookmarkStart w:id="0" w:name="_GoBack"/>
      <w:bookmarkEnd w:id="0"/>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lang w:val="en-US" w:eastAsia="zh-CN"/>
        </w:rPr>
        <w:t>4.</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政府办公厅（室）及相关机构事务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其他政府办公厅（室）及相关机构事务</w:t>
      </w:r>
      <w:r>
        <w:rPr>
          <w:rFonts w:ascii="仿宋_GB2312" w:hAnsi="宋体" w:eastAsia="仿宋_GB2312" w:cs="仿宋_GB2312"/>
          <w:b/>
          <w:color w:val="000000"/>
          <w:kern w:val="0"/>
          <w:sz w:val="32"/>
          <w:szCs w:val="32"/>
        </w:rPr>
        <w:t>（项）。</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2.77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对于日常公用经费年初预算评估不到位。</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100.15</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93.08</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7.07</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93.08</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27.65万元，津贴补贴16.50万元；奖金17.55万元，绩效工资12.83万元，机关事业单位基本养老保险缴费8.00万元，住房公积金9.71万元，其他工资福利支出0.19万元，对个人和家庭的补助0.65万元。</w:t>
      </w:r>
    </w:p>
    <w:p>
      <w:pPr>
        <w:widowControl/>
        <w:ind w:firstLine="643" w:firstLineChars="200"/>
        <w:jc w:val="left"/>
        <w:rPr>
          <w:rFonts w:eastAsia="仿宋_GB231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7.07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办公费1.31万元，印刷费0.49万元，邮电费0.58万元，差旅费0.07万元，劳务费0.09万元，工会经费2.28万元，其他交通费2.10万元，其他商品和服务支出0.16万元。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default" w:eastAsia="仿宋_GB2312"/>
          <w:lang w:val="en-US"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1.48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减少1.48万元，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本年度无公务接待及公务用车。</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p>
    <w:p>
      <w:pPr>
        <w:widowControl/>
        <w:ind w:firstLine="640" w:firstLineChars="200"/>
        <w:jc w:val="left"/>
      </w:pP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较公务用车购置及运行维护费</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减少1.03万元，主要原因是节约支出。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较公务用车购置及运行维护费</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减少1.03万元，主要原因是节约支出。</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减少0.45万元，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节约支出。</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eastAsia="仿宋_GB231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46.06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w:t>
      </w:r>
    </w:p>
    <w:p>
      <w:pPr>
        <w:widowControl/>
        <w:ind w:firstLine="643" w:firstLineChars="200"/>
        <w:jc w:val="left"/>
        <w:rPr>
          <w:rFonts w:ascii="仿宋_GB2312" w:hAnsi="仿宋_GB2312" w:eastAsia="仿宋_GB2312" w:cs="仿宋_GB2312"/>
          <w:color w:val="000000"/>
          <w:kern w:val="0"/>
          <w:sz w:val="31"/>
          <w:szCs w:val="31"/>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1.镇办信访津贴</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4.23</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4.23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进一步夯实信访基层工作，提高了信访工作人员积极性，确保群众有序依法信访，维护社会稳定及人民群众的合法权益，逐步减少非正常上访，杜绝群体性上访，维护社会稳定。经本次自评，该项目的产出指标实际值基本达到了预期目标值。</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2.特殊疑难信访专项资金项目绩效自评综述：</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99</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25</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24.91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99.65</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根据国家有关法律法规和中央、省、示范区关于解决特殊疑难信访问题的相关规定，对一些生活严重困难且同意息访罢诉的信访对象给予救助，促成信访合理事项依法有序解决，及时有效消除社会不稳定因素。经本次自评，该项目的产出指标实际值基本达到了预期目标值。</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3.日常进京、驻省劝返经费项目绩效自评综述：</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5</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5</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2019年始终坚持进京、驻省维稳劝返工作一线。听从指挥，确保及时查控劝返接回，真正做到劝返稳控，很好的维护了全区的信访工作秩序。经本次自评，该项目的产出指标实际值基本达到了预期目标值。</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4.临聘人员工资项目绩效自评综述：</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8.72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87.2</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严格通过银行系统转汇个人银行卡的方式每月按时发放，不克扣、拖欠聘用人员工资，提高工资积极性。年终全部支付完成，维持了办公秩序的正常运转，达到既定工作目标。</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发现问题及原因：因工作性质原因，信访部门专业性较强，外聘人员短期内难以熟悉掌握相关法律法规，工作水平提升较慢。</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下一步改进措施：针对存在问题，后续工作中，增加员工理论及实操培训工作，提高员工的业务技能。</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5.律师工资项目绩效自评综述：</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引进律师参与信访工作，充分发挥律师作为法律专业人士，独立第三方在信访矛盾化解工作中的重要作用，更有效地维护信访群众的合法权益，推进部门依法高效地处理信访案件，更好的维护我区社会和谐稳定。经本次自评，该项目的产出指标实际值基本达到了预期目标值。</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6.信访网上系统建设项目绩效自评综述：</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健全网上信访信息系统设备，以“互联网+”为统领的信访信息化，支撑着信访业务的网上运行。将信访业务工作流程进行数字化运转，让群众少跑腿，进一步缩短办理周期，提高工作效率，最大限度地降低群众的信访成本。经本次自评，该项目的产出指标实际值基本达到了预期目标值。</w:t>
      </w:r>
    </w:p>
    <w:p>
      <w:pPr>
        <w:widowControl/>
        <w:ind w:firstLine="620" w:firstLineChars="200"/>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92.8pt;width:462.6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6" o:spt="75" type="#_x0000_t75" style="height:652.25pt;width:462.6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r>
        <w:rPr>
          <w:rFonts w:hint="eastAsia" w:ascii="楷体" w:hAnsi="楷体" w:eastAsia="楷体" w:cs="楷体"/>
          <w:sz w:val="32"/>
          <w:szCs w:val="32"/>
        </w:rPr>
        <w:object>
          <v:shape id="_x0000_i1027" o:spt="75" type="#_x0000_t75" style="height:594.7pt;width:462.6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592.8pt;width:462.6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592.8pt;width:462.6pt;" o:ole="t" filled="f" o:preferrelative="t" stroked="f" coordsize="21600,21600">
            <v:path/>
            <v:fill on="f" focussize="0,0"/>
            <v:stroke on="f"/>
            <v:imagedata r:id="rId20" o:title=""/>
            <o:lock v:ext="edit" aspectratio="t"/>
            <w10:wrap type="none"/>
            <w10:anchorlock/>
          </v:shape>
          <o:OLEObject Type="Embed" ProgID="Excel.Sheet.8" ShapeID="_x0000_i1029" DrawAspect="Content" ObjectID="_1468075729" r:id="rId19">
            <o:LockedField>false</o:LockedField>
          </o:OLEObject>
        </w:objec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30" o:spt="75" type="#_x0000_t75" style="height:606.05pt;width:462.6pt;" o:ole="t" filled="f" o:preferrelative="t" stroked="f" coordsize="21600,21600">
            <v:path/>
            <v:fill on="f" focussize="0,0"/>
            <v:stroke on="f"/>
            <v:imagedata r:id="rId22" o:title=""/>
            <o:lock v:ext="edit" aspectratio="t"/>
            <w10:wrap type="none"/>
            <w10:anchorlock/>
          </v:shape>
          <o:OLEObject Type="Embed" ProgID="Excel.Sheet.8" ShapeID="_x0000_i1030" DrawAspect="Content" ObjectID="_1468075730" r:id="rId21">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31" o:spt="75" type="#_x0000_t75" style="height:1350.85pt;width:631.2pt;" o:ole="t" filled="f" o:preferrelative="t" stroked="f" coordsize="21600,21600">
            <v:path/>
            <v:fill on="f" focussize="0,0"/>
            <v:stroke on="f"/>
            <v:imagedata r:id="rId24" o:title=""/>
            <o:lock v:ext="edit" aspectratio="t"/>
            <w10:wrap type="none"/>
            <w10:anchorlock/>
          </v:shape>
          <o:OLEObject Type="Embed" ProgID="Excel.Sheet.8" ShapeID="_x0000_i1031" DrawAspect="Content" ObjectID="_1468075731" r:id="rId23">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2" o:spt="75" type="#_x0000_t75" style="height:387pt;width:648pt;" o:ole="t" filled="f" o:preferrelative="t" stroked="f" coordsize="21600,21600">
            <v:path/>
            <v:fill on="f" focussize="0,0"/>
            <v:stroke on="f"/>
            <v:imagedata r:id="rId26" o:title=""/>
            <o:lock v:ext="edit" aspectratio="t"/>
            <w10:wrap type="none"/>
            <w10:anchorlock/>
          </v:shape>
          <o:OLEObject Type="Embed" ProgID="Excel.Sheet.8" ShapeID="_x0000_i1032" DrawAspect="Content" ObjectID="_1468075732" r:id="rId2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lang w:val="en-US" w:eastAsia="zh-CN"/>
        </w:rPr>
        <w:t>.</w:t>
      </w:r>
      <w:r>
        <w:rPr>
          <w:rFonts w:hint="eastAsia" w:ascii="楷体" w:hAnsi="楷体" w:eastAsia="楷体" w:cs="楷体"/>
          <w:sz w:val="32"/>
          <w:szCs w:val="32"/>
        </w:rPr>
        <w:object>
          <v:shape id="_x0000_i1033" o:spt="75" type="#_x0000_t75" style="height:339pt;width:644.4pt;" o:ole="t" filled="f" o:preferrelative="t" stroked="f" coordsize="21600,21600">
            <v:path/>
            <v:fill on="f" focussize="0,0"/>
            <v:stroke on="f"/>
            <v:imagedata r:id="rId28" o:title=""/>
            <o:lock v:ext="edit" aspectratio="t"/>
            <w10:wrap type="none"/>
            <w10:anchorlock/>
          </v:shape>
          <o:OLEObject Type="Embed" ProgID="Excel.Sheet.8" ShapeID="_x0000_i1033" DrawAspect="Content" ObjectID="_1468075733" r:id="rId27">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7.07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70.7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2.93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精简支出</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6446E"/>
    <w:multiLevelType w:val="singleLevel"/>
    <w:tmpl w:val="410644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A6CAB"/>
    <w:rsid w:val="00146787"/>
    <w:rsid w:val="00164001"/>
    <w:rsid w:val="001D7568"/>
    <w:rsid w:val="002102F6"/>
    <w:rsid w:val="002424C8"/>
    <w:rsid w:val="002A7893"/>
    <w:rsid w:val="002F4755"/>
    <w:rsid w:val="003364E9"/>
    <w:rsid w:val="003667C1"/>
    <w:rsid w:val="00416AE9"/>
    <w:rsid w:val="00452E2E"/>
    <w:rsid w:val="004B6D6E"/>
    <w:rsid w:val="005D0EA8"/>
    <w:rsid w:val="00631459"/>
    <w:rsid w:val="00796156"/>
    <w:rsid w:val="00813F4A"/>
    <w:rsid w:val="009F7BB3"/>
    <w:rsid w:val="00A72152"/>
    <w:rsid w:val="00B80654"/>
    <w:rsid w:val="00C1401D"/>
    <w:rsid w:val="00C41654"/>
    <w:rsid w:val="00C61863"/>
    <w:rsid w:val="00CE5C9F"/>
    <w:rsid w:val="00DD2F31"/>
    <w:rsid w:val="00E730FE"/>
    <w:rsid w:val="00E8111E"/>
    <w:rsid w:val="00EC3ECC"/>
    <w:rsid w:val="013B79AC"/>
    <w:rsid w:val="02046FD6"/>
    <w:rsid w:val="02167857"/>
    <w:rsid w:val="02D264CD"/>
    <w:rsid w:val="038D4E91"/>
    <w:rsid w:val="03A03C18"/>
    <w:rsid w:val="03AB4C7E"/>
    <w:rsid w:val="045E0CAD"/>
    <w:rsid w:val="052816A6"/>
    <w:rsid w:val="055701BB"/>
    <w:rsid w:val="06416CAA"/>
    <w:rsid w:val="067D2436"/>
    <w:rsid w:val="0699513F"/>
    <w:rsid w:val="06A07DB2"/>
    <w:rsid w:val="07137217"/>
    <w:rsid w:val="07217CC4"/>
    <w:rsid w:val="08DF2BCC"/>
    <w:rsid w:val="0B41636D"/>
    <w:rsid w:val="0CEB34A2"/>
    <w:rsid w:val="0E696299"/>
    <w:rsid w:val="0EDB463E"/>
    <w:rsid w:val="10DD74AE"/>
    <w:rsid w:val="124E5422"/>
    <w:rsid w:val="125E2600"/>
    <w:rsid w:val="13242465"/>
    <w:rsid w:val="132E46A0"/>
    <w:rsid w:val="13682CD7"/>
    <w:rsid w:val="13D87F76"/>
    <w:rsid w:val="14411117"/>
    <w:rsid w:val="14A831CA"/>
    <w:rsid w:val="1586116E"/>
    <w:rsid w:val="159A3A44"/>
    <w:rsid w:val="17525FEA"/>
    <w:rsid w:val="18BB4AD7"/>
    <w:rsid w:val="18BC0435"/>
    <w:rsid w:val="194A1A89"/>
    <w:rsid w:val="1999153F"/>
    <w:rsid w:val="19AF7987"/>
    <w:rsid w:val="1A151389"/>
    <w:rsid w:val="1A86194D"/>
    <w:rsid w:val="1B3A0DDD"/>
    <w:rsid w:val="1B4A3FDA"/>
    <w:rsid w:val="1B524C98"/>
    <w:rsid w:val="1BF26F1D"/>
    <w:rsid w:val="1C4D33EA"/>
    <w:rsid w:val="1C5E2F73"/>
    <w:rsid w:val="1CE10C4B"/>
    <w:rsid w:val="1D6E0C0D"/>
    <w:rsid w:val="22187EE1"/>
    <w:rsid w:val="221C15BB"/>
    <w:rsid w:val="22323712"/>
    <w:rsid w:val="227C7C14"/>
    <w:rsid w:val="22CD7C70"/>
    <w:rsid w:val="22F22213"/>
    <w:rsid w:val="244F1245"/>
    <w:rsid w:val="24947BCB"/>
    <w:rsid w:val="25504506"/>
    <w:rsid w:val="26494241"/>
    <w:rsid w:val="26F827F0"/>
    <w:rsid w:val="27B27993"/>
    <w:rsid w:val="29785A6B"/>
    <w:rsid w:val="2A0C03A3"/>
    <w:rsid w:val="2A7750AB"/>
    <w:rsid w:val="2A934F73"/>
    <w:rsid w:val="2B723142"/>
    <w:rsid w:val="2C155879"/>
    <w:rsid w:val="2C1D0AAD"/>
    <w:rsid w:val="2C495AC5"/>
    <w:rsid w:val="2D1F3974"/>
    <w:rsid w:val="2D825BD0"/>
    <w:rsid w:val="2DB52EF2"/>
    <w:rsid w:val="2E6D0AB7"/>
    <w:rsid w:val="2F084A8D"/>
    <w:rsid w:val="2FA4369F"/>
    <w:rsid w:val="30507578"/>
    <w:rsid w:val="309A013E"/>
    <w:rsid w:val="30A53F96"/>
    <w:rsid w:val="31AA6038"/>
    <w:rsid w:val="32262ECE"/>
    <w:rsid w:val="328B2A73"/>
    <w:rsid w:val="33520EDB"/>
    <w:rsid w:val="33887EE3"/>
    <w:rsid w:val="34677C61"/>
    <w:rsid w:val="34E73E5C"/>
    <w:rsid w:val="359C0151"/>
    <w:rsid w:val="37E91594"/>
    <w:rsid w:val="390E7264"/>
    <w:rsid w:val="39116BF5"/>
    <w:rsid w:val="39F51FFC"/>
    <w:rsid w:val="3AC6515D"/>
    <w:rsid w:val="3B121AD1"/>
    <w:rsid w:val="3C161BF6"/>
    <w:rsid w:val="3CFD0D2E"/>
    <w:rsid w:val="3D1E6C59"/>
    <w:rsid w:val="3D6D03B4"/>
    <w:rsid w:val="3EEE166E"/>
    <w:rsid w:val="40223A93"/>
    <w:rsid w:val="40AF101F"/>
    <w:rsid w:val="40CD1C24"/>
    <w:rsid w:val="41603979"/>
    <w:rsid w:val="416E2BAE"/>
    <w:rsid w:val="41CF436B"/>
    <w:rsid w:val="422C6B59"/>
    <w:rsid w:val="42934DA6"/>
    <w:rsid w:val="43DA24AA"/>
    <w:rsid w:val="44563EFB"/>
    <w:rsid w:val="4619368A"/>
    <w:rsid w:val="468548E9"/>
    <w:rsid w:val="47191274"/>
    <w:rsid w:val="471F2499"/>
    <w:rsid w:val="4ADE6D9E"/>
    <w:rsid w:val="4D5F6B32"/>
    <w:rsid w:val="4D6E0FDF"/>
    <w:rsid w:val="4D751F9B"/>
    <w:rsid w:val="4E7857EC"/>
    <w:rsid w:val="4EE4307A"/>
    <w:rsid w:val="4F38312E"/>
    <w:rsid w:val="4F3D63FA"/>
    <w:rsid w:val="4FCF60C5"/>
    <w:rsid w:val="50FE64A3"/>
    <w:rsid w:val="51482809"/>
    <w:rsid w:val="514E4B25"/>
    <w:rsid w:val="5153143F"/>
    <w:rsid w:val="525F5DEC"/>
    <w:rsid w:val="544675FF"/>
    <w:rsid w:val="549D60CD"/>
    <w:rsid w:val="54D22842"/>
    <w:rsid w:val="54F12DEE"/>
    <w:rsid w:val="553743D4"/>
    <w:rsid w:val="56433DA5"/>
    <w:rsid w:val="589702A1"/>
    <w:rsid w:val="5ACC6096"/>
    <w:rsid w:val="5AF754DB"/>
    <w:rsid w:val="5B8D564A"/>
    <w:rsid w:val="5CB92D8A"/>
    <w:rsid w:val="5D29620C"/>
    <w:rsid w:val="5D7542DD"/>
    <w:rsid w:val="5DF953B4"/>
    <w:rsid w:val="5E595A94"/>
    <w:rsid w:val="5F3716F3"/>
    <w:rsid w:val="606E6B70"/>
    <w:rsid w:val="60A37F04"/>
    <w:rsid w:val="62053D26"/>
    <w:rsid w:val="63924EB8"/>
    <w:rsid w:val="65074FBA"/>
    <w:rsid w:val="65185294"/>
    <w:rsid w:val="656B6078"/>
    <w:rsid w:val="684578EB"/>
    <w:rsid w:val="69512523"/>
    <w:rsid w:val="6AF92300"/>
    <w:rsid w:val="6BAD39EA"/>
    <w:rsid w:val="6C1221B1"/>
    <w:rsid w:val="6C9D1743"/>
    <w:rsid w:val="6F9B4168"/>
    <w:rsid w:val="703D5A4E"/>
    <w:rsid w:val="704A21B7"/>
    <w:rsid w:val="70C32777"/>
    <w:rsid w:val="70CB7C29"/>
    <w:rsid w:val="70F10B50"/>
    <w:rsid w:val="71086DB5"/>
    <w:rsid w:val="7121277D"/>
    <w:rsid w:val="712E387B"/>
    <w:rsid w:val="71455A71"/>
    <w:rsid w:val="71B732F2"/>
    <w:rsid w:val="724840AB"/>
    <w:rsid w:val="724B36CF"/>
    <w:rsid w:val="728A443E"/>
    <w:rsid w:val="75381FC1"/>
    <w:rsid w:val="75C31473"/>
    <w:rsid w:val="764822D0"/>
    <w:rsid w:val="77F52701"/>
    <w:rsid w:val="786852D1"/>
    <w:rsid w:val="7B4A34DF"/>
    <w:rsid w:val="7BD17581"/>
    <w:rsid w:val="7C3E5E46"/>
    <w:rsid w:val="7C5B5A63"/>
    <w:rsid w:val="7DE2584A"/>
    <w:rsid w:val="7ED516BB"/>
    <w:rsid w:val="7EE759C2"/>
    <w:rsid w:val="7F5461DF"/>
    <w:rsid w:val="7FEB0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9.emf"/><Relationship Id="rId27" Type="http://schemas.openxmlformats.org/officeDocument/2006/relationships/oleObject" Target="embeddings/oleObject9.bin"/><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人员编制结构分析图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在编人员</c:v>
                </c:pt>
              </c:strCache>
            </c:strRef>
          </c:tx>
          <c:spPr>
            <a:solidFill>
              <a:schemeClr val="accent1"/>
            </a:solidFill>
            <a:ln>
              <a:noFill/>
            </a:ln>
            <a:effectLst/>
          </c:spPr>
          <c:invertIfNegative val="0"/>
          <c:dLbls>
            <c:delete val="1"/>
          </c:dLbls>
          <c:cat>
            <c:strRef>
              <c:f>Sheet1!$A$2:$A$3</c:f>
              <c:strCache>
                <c:ptCount val="2"/>
                <c:pt idx="0">
                  <c:v>行政编制</c:v>
                </c:pt>
                <c:pt idx="1">
                  <c:v>事业编制</c:v>
                </c:pt>
              </c:strCache>
            </c:strRef>
          </c:cat>
          <c:val>
            <c:numRef>
              <c:f>Sheet1!$B$2:$B$3</c:f>
              <c:numCache>
                <c:formatCode>General</c:formatCode>
                <c:ptCount val="2"/>
                <c:pt idx="0">
                  <c:v>4</c:v>
                </c:pt>
                <c:pt idx="1">
                  <c:v>4</c:v>
                </c:pt>
              </c:numCache>
            </c:numRef>
          </c:val>
        </c:ser>
        <c:ser>
          <c:idx val="1"/>
          <c:order val="1"/>
          <c:tx>
            <c:strRef>
              <c:f>Sheet1!$C$1</c:f>
              <c:strCache>
                <c:ptCount val="1"/>
                <c:pt idx="0">
                  <c:v>实有人员</c:v>
                </c:pt>
              </c:strCache>
            </c:strRef>
          </c:tx>
          <c:spPr>
            <a:solidFill>
              <a:schemeClr val="accent2"/>
            </a:solidFill>
            <a:ln>
              <a:noFill/>
            </a:ln>
            <a:effectLst/>
          </c:spPr>
          <c:invertIfNegative val="0"/>
          <c:dLbls>
            <c:delete val="1"/>
          </c:dLbls>
          <c:cat>
            <c:strRef>
              <c:f>Sheet1!$A$2:$A$3</c:f>
              <c:strCache>
                <c:ptCount val="2"/>
                <c:pt idx="0">
                  <c:v>行政编制</c:v>
                </c:pt>
                <c:pt idx="1">
                  <c:v>事业编制</c:v>
                </c:pt>
              </c:strCache>
            </c:strRef>
          </c:cat>
          <c:val>
            <c:numRef>
              <c:f>Sheet1!$C$2:$C$3</c:f>
              <c:numCache>
                <c:formatCode>General</c:formatCode>
                <c:ptCount val="2"/>
                <c:pt idx="0">
                  <c:v>3</c:v>
                </c:pt>
                <c:pt idx="1">
                  <c:v>4</c:v>
                </c:pt>
              </c:numCache>
            </c:numRef>
          </c:val>
        </c:ser>
        <c:ser>
          <c:idx val="2"/>
          <c:order val="2"/>
          <c:tx>
            <c:strRef>
              <c:f>Sheet1!$D$1</c:f>
              <c:strCache>
                <c:ptCount val="1"/>
                <c:pt idx="0">
                  <c:v>退休人员</c:v>
                </c:pt>
              </c:strCache>
            </c:strRef>
          </c:tx>
          <c:spPr>
            <a:solidFill>
              <a:schemeClr val="accent3"/>
            </a:solidFill>
            <a:ln>
              <a:noFill/>
            </a:ln>
            <a:effectLst/>
          </c:spPr>
          <c:invertIfNegative val="0"/>
          <c:dLbls>
            <c:delete val="1"/>
          </c:dLbls>
          <c:cat>
            <c:strRef>
              <c:f>Sheet1!$A$2:$A$3</c:f>
              <c:strCache>
                <c:ptCount val="2"/>
                <c:pt idx="0">
                  <c:v>行政编制</c:v>
                </c:pt>
                <c:pt idx="1">
                  <c:v>事业编制</c:v>
                </c:pt>
              </c:strCache>
            </c:strRef>
          </c:cat>
          <c:val>
            <c:numRef>
              <c:f>Sheet1!$D$2:$D$3</c:f>
              <c:numCache>
                <c:formatCode>General</c:formatCode>
                <c:ptCount val="2"/>
                <c:pt idx="0">
                  <c:v>5</c:v>
                </c:pt>
                <c:pt idx="1">
                  <c:v>1</c:v>
                </c:pt>
              </c:numCache>
            </c:numRef>
          </c:val>
        </c:ser>
        <c:dLbls>
          <c:showLegendKey val="0"/>
          <c:showVal val="0"/>
          <c:showCatName val="0"/>
          <c:showSerName val="0"/>
          <c:showPercent val="0"/>
          <c:showBubbleSize val="0"/>
        </c:dLbls>
        <c:gapWidth val="219"/>
        <c:overlap val="-27"/>
        <c:axId val="124209792"/>
        <c:axId val="124223872"/>
      </c:barChart>
      <c:catAx>
        <c:axId val="1242097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223872"/>
        <c:crosses val="autoZero"/>
        <c:auto val="1"/>
        <c:lblAlgn val="ctr"/>
        <c:lblOffset val="100"/>
        <c:noMultiLvlLbl val="0"/>
      </c:catAx>
      <c:valAx>
        <c:axId val="124223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209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mj-ea"/>
                <a:ea typeface="+mj-ea"/>
                <a:cs typeface="+mj-ea"/>
                <a:sym typeface="+mj-ea"/>
              </a:defRPr>
            </a:pPr>
            <a:r>
              <a:rPr lang="en-US" altLang="zh-CN" sz="1600">
                <a:latin typeface="+mj-ea"/>
                <a:ea typeface="+mj-ea"/>
                <a:cs typeface="+mj-ea"/>
                <a:sym typeface="+mj-ea"/>
              </a:rPr>
              <a:t>2019</a:t>
            </a:r>
            <a:r>
              <a:rPr altLang="en-US" sz="1600">
                <a:latin typeface="+mj-ea"/>
                <a:ea typeface="+mj-ea"/>
                <a:cs typeface="+mj-ea"/>
                <a:sym typeface="+mj-ea"/>
              </a:rPr>
              <a:t>年</a:t>
            </a:r>
            <a:r>
              <a:rPr lang="zh-CN" altLang="en-US" sz="1600">
                <a:latin typeface="+mj-ea"/>
                <a:ea typeface="+mj-ea"/>
                <a:cs typeface="+mj-ea"/>
                <a:sym typeface="+mj-ea"/>
              </a:rPr>
              <a:t>和</a:t>
            </a:r>
            <a:r>
              <a:rPr lang="en-US" altLang="zh-CN" sz="1600">
                <a:latin typeface="+mj-ea"/>
                <a:ea typeface="+mj-ea"/>
                <a:cs typeface="+mj-ea"/>
                <a:sym typeface="+mj-ea"/>
              </a:rPr>
              <a:t>2018</a:t>
            </a:r>
            <a:r>
              <a:rPr altLang="en-US" sz="1600">
                <a:latin typeface="+mj-ea"/>
                <a:ea typeface="+mj-ea"/>
                <a:cs typeface="+mj-ea"/>
                <a:sym typeface="+mj-ea"/>
              </a:rPr>
              <a:t>年</a:t>
            </a:r>
            <a:r>
              <a:rPr lang="zh-CN" altLang="en-US" sz="1600">
                <a:latin typeface="+mj-ea"/>
                <a:ea typeface="+mj-ea"/>
                <a:cs typeface="+mj-ea"/>
                <a:sym typeface="+mj-ea"/>
              </a:rPr>
              <a:t>收入支出分析图</a:t>
            </a:r>
            <a:endParaRPr sz="1600">
              <a:latin typeface="+mj-ea"/>
              <a:ea typeface="+mj-ea"/>
              <a:cs typeface="+mj-ea"/>
              <a:sym typeface="+mj-ea"/>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130.59</c:v>
                </c:pt>
                <c:pt idx="1">
                  <c:v>130.59</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173.64</c:v>
                </c:pt>
                <c:pt idx="1">
                  <c:v>173.64</c:v>
                </c:pt>
              </c:numCache>
            </c:numRef>
          </c:val>
        </c:ser>
        <c:dLbls>
          <c:showLegendKey val="0"/>
          <c:showVal val="0"/>
          <c:showCatName val="0"/>
          <c:showSerName val="0"/>
          <c:showPercent val="0"/>
          <c:showBubbleSize val="0"/>
        </c:dLbls>
        <c:gapWidth val="219"/>
        <c:overlap val="-27"/>
        <c:axId val="124318464"/>
        <c:axId val="124320000"/>
      </c:barChart>
      <c:catAx>
        <c:axId val="1243184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p>
        </c:txPr>
        <c:crossAx val="124320000"/>
        <c:crosses val="autoZero"/>
        <c:auto val="1"/>
        <c:lblAlgn val="ctr"/>
        <c:lblOffset val="100"/>
        <c:noMultiLvlLbl val="0"/>
      </c:catAx>
      <c:valAx>
        <c:axId val="124320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p>
        </c:txPr>
        <c:crossAx val="12431846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mj-ea"/>
          <a:ea typeface="+mj-ea"/>
          <a:cs typeface="+mj-ea"/>
          <a:sym typeface="+mj-ea"/>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收入类结构分析图</c:v>
                </c:pt>
              </c:strCache>
            </c:strRef>
          </c:tx>
          <c:explosion val="0"/>
          <c:dPt>
            <c:idx val="0"/>
            <c:bubble3D val="0"/>
          </c:dPt>
          <c:dPt>
            <c:idx val="1"/>
            <c:bubble3D val="0"/>
          </c:dPt>
          <c:dLbls>
            <c:delete val="1"/>
          </c:dLbls>
          <c:cat>
            <c:strRef>
              <c:f>Sheet1!$A$2:$A$3</c:f>
              <c:strCache>
                <c:ptCount val="2"/>
                <c:pt idx="0">
                  <c:v>财政拨款</c:v>
                </c:pt>
                <c:pt idx="1">
                  <c:v>其他收入</c:v>
                </c:pt>
              </c:strCache>
            </c:strRef>
          </c:cat>
          <c:val>
            <c:numRef>
              <c:f>Sheet1!$B$2:$B$3</c:f>
              <c:numCache>
                <c:formatCode>General</c:formatCode>
                <c:ptCount val="2"/>
                <c:pt idx="0">
                  <c:v>126.63</c:v>
                </c:pt>
                <c:pt idx="1">
                  <c:v>3.97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9547371753628"/>
          <c:y val="0.49154126960545"/>
          <c:w val="0.147589971999421"/>
          <c:h val="0.16650933136120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支出类结构分析图</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100.15</c:v>
                </c:pt>
                <c:pt idx="1">
                  <c:v>30.44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9158544798153"/>
          <c:y val="0.458645654628367"/>
          <c:w val="0.150275549021562"/>
          <c:h val="0.16836977081775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财政拨款收入支出分析表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126.63</c:v>
                </c:pt>
                <c:pt idx="1">
                  <c:v>126.63</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172.64</c:v>
                </c:pt>
                <c:pt idx="1">
                  <c:v>172.64</c:v>
                </c:pt>
              </c:numCache>
            </c:numRef>
          </c:val>
        </c:ser>
        <c:dLbls>
          <c:showLegendKey val="0"/>
          <c:showVal val="0"/>
          <c:showCatName val="0"/>
          <c:showSerName val="0"/>
          <c:showPercent val="0"/>
          <c:showBubbleSize val="0"/>
        </c:dLbls>
        <c:gapWidth val="219"/>
        <c:overlap val="-27"/>
        <c:axId val="641727779"/>
        <c:axId val="576208546"/>
      </c:barChart>
      <c:catAx>
        <c:axId val="6417277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208546"/>
        <c:crosses val="autoZero"/>
        <c:auto val="1"/>
        <c:lblAlgn val="ctr"/>
        <c:lblOffset val="100"/>
        <c:noMultiLvlLbl val="0"/>
      </c:catAx>
      <c:valAx>
        <c:axId val="5762085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17277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支出分析表</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Sheet1!$A$2:$A$4</c:f>
              <c:strCache>
                <c:ptCount val="3"/>
                <c:pt idx="0">
                  <c:v>2019年总支出</c:v>
                </c:pt>
                <c:pt idx="1">
                  <c:v>2019年财政拨款支出</c:v>
                </c:pt>
                <c:pt idx="2">
                  <c:v>2018年财政拨款支出</c:v>
                </c:pt>
              </c:strCache>
            </c:strRef>
          </c:cat>
          <c:val>
            <c:numRef>
              <c:f>Sheet1!$B$2:$B$4</c:f>
              <c:numCache>
                <c:formatCode>General</c:formatCode>
                <c:ptCount val="3"/>
                <c:pt idx="0">
                  <c:v>130.59</c:v>
                </c:pt>
                <c:pt idx="1">
                  <c:v>126.63</c:v>
                </c:pt>
                <c:pt idx="2">
                  <c:v>172.64</c:v>
                </c:pt>
              </c:numCache>
            </c:numRef>
          </c:val>
        </c:ser>
        <c:dLbls>
          <c:showLegendKey val="0"/>
          <c:showVal val="0"/>
          <c:showCatName val="0"/>
          <c:showSerName val="0"/>
          <c:showPercent val="0"/>
          <c:showBubbleSize val="0"/>
        </c:dLbls>
        <c:gapWidth val="219"/>
        <c:overlap val="-27"/>
        <c:axId val="721239914"/>
        <c:axId val="45372710"/>
      </c:barChart>
      <c:catAx>
        <c:axId val="7212399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72710"/>
        <c:crosses val="autoZero"/>
        <c:auto val="1"/>
        <c:lblAlgn val="ctr"/>
        <c:lblOffset val="100"/>
        <c:noMultiLvlLbl val="0"/>
      </c:catAx>
      <c:valAx>
        <c:axId val="453727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2399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1497</Words>
  <Characters>8535</Characters>
  <Lines>71</Lines>
  <Paragraphs>20</Paragraphs>
  <TotalTime>18</TotalTime>
  <ScaleCrop>false</ScaleCrop>
  <LinksUpToDate>false</LinksUpToDate>
  <CharactersWithSpaces>10012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2020-10-30T00:41:00Z</cp:lastPrinted>
  <dcterms:modified xsi:type="dcterms:W3CDTF">2020-10-30T02:03:07Z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