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 xml:space="preserve"> </w:t>
      </w:r>
    </w:p>
    <w:p>
      <w:pPr>
        <w:jc w:val="center"/>
        <w:rPr>
          <w:rFonts w:hint="eastAsia" w:ascii="黑体" w:hAnsi="黑体" w:eastAsia="黑体"/>
          <w:sz w:val="32"/>
          <w:szCs w:val="32"/>
          <w:lang w:val="en-US" w:eastAsia="zh-CN"/>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杨陵区生态环境局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firstLine="640" w:firstLineChars="200"/>
        <w:jc w:val="left"/>
        <w:rPr>
          <w:rFonts w:hint="eastAsia" w:ascii="仿宋" w:hAnsi="仿宋" w:eastAsia="仿宋" w:cs="仿宋"/>
          <w:color w:val="2B2B2B"/>
          <w:sz w:val="32"/>
          <w:szCs w:val="32"/>
        </w:rPr>
      </w:pPr>
      <w:r>
        <w:rPr>
          <w:rFonts w:hint="eastAsia" w:ascii="仿宋" w:hAnsi="仿宋" w:eastAsia="仿宋" w:cs="仿宋"/>
          <w:color w:val="2B2B2B"/>
          <w:kern w:val="0"/>
          <w:sz w:val="32"/>
          <w:szCs w:val="32"/>
          <w:shd w:val="clear" w:fill="FFFFFF"/>
          <w:lang w:val="en-US" w:eastAsia="zh-CN" w:bidi="ar"/>
        </w:rPr>
        <w:t xml:space="preserve">对辖区内环境保护工作实施统一监督管理。贯彻执行国家、省环境保护方面的方针、政策、法律、法规。拟定环境保护规划和计划，审核城镇总规划中的环境保护内容。负责国家、省各类环境保护标准的实施。负责区级政府（包含区政府各部门）投资类、公益事业类建设项目环境影响评价和环保竣工验收审批。对辖区内废气、废水、有毒化学品和噪声等污染防治和污染治理设施进行监督管理。负责辖区环境统计和环境信息工作。调查处理环境污染事故、环境纠纷和来信来访。负责辖区内环境宣传教育工作。 </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numPr>
          <w:ilvl w:val="0"/>
          <w:numId w:val="0"/>
        </w:numPr>
        <w:jc w:val="left"/>
        <w:rPr>
          <w:rFonts w:hint="eastAsia" w:ascii="仿宋" w:hAnsi="仿宋" w:eastAsia="仿宋" w:cs="仿宋"/>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  </w:t>
      </w:r>
      <w:r>
        <w:rPr>
          <w:rFonts w:hint="eastAsia" w:ascii="仿宋" w:hAnsi="仿宋" w:eastAsia="仿宋" w:cs="仿宋"/>
          <w:b w:val="0"/>
          <w:bCs w:val="0"/>
          <w:color w:val="000000"/>
          <w:kern w:val="0"/>
          <w:sz w:val="32"/>
          <w:szCs w:val="32"/>
          <w:lang w:val="en-US" w:eastAsia="zh-CN" w:bidi="ar"/>
        </w:rPr>
        <w:t xml:space="preserve">   杨陵区生态环境局局内设办公室、党建办、大气办，水土办、固废危废、扫黑办；下属有1个事业单位</w:t>
      </w:r>
      <w:r>
        <w:rPr>
          <w:rFonts w:hint="eastAsia" w:ascii="仿宋" w:hAnsi="仿宋" w:eastAsia="仿宋" w:cs="仿宋"/>
          <w:color w:val="2B2B2B"/>
          <w:sz w:val="32"/>
          <w:szCs w:val="32"/>
        </w:rPr>
        <w:t>杨陵区环境监察大队</w:t>
      </w:r>
      <w:r>
        <w:rPr>
          <w:rFonts w:hint="eastAsia" w:ascii="仿宋" w:hAnsi="仿宋" w:eastAsia="仿宋" w:cs="仿宋"/>
          <w:color w:val="2B2B2B"/>
          <w:sz w:val="32"/>
          <w:szCs w:val="32"/>
          <w:lang w:eastAsia="zh-CN"/>
        </w:rPr>
        <w:t>，设有一中队、二中队、投诉科。</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hint="eastAsia" w:ascii="仿宋" w:hAnsi="仿宋" w:eastAsia="仿宋" w:cs="仿宋"/>
                <w:sz w:val="32"/>
                <w:szCs w:val="32"/>
              </w:rPr>
            </w:pPr>
            <w:r>
              <w:rPr>
                <w:rFonts w:hint="eastAsia" w:ascii="仿宋" w:hAnsi="仿宋" w:eastAsia="仿宋" w:cs="仿宋"/>
                <w:color w:val="2B2B2B"/>
                <w:sz w:val="32"/>
                <w:szCs w:val="32"/>
              </w:rPr>
              <w:t>杨陵区生态环境局（本级）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hint="eastAsia" w:ascii="仿宋" w:hAnsi="仿宋" w:eastAsia="仿宋" w:cs="仿宋"/>
                <w:sz w:val="32"/>
                <w:szCs w:val="32"/>
              </w:rPr>
            </w:pPr>
            <w:r>
              <w:rPr>
                <w:rFonts w:hint="eastAsia" w:ascii="仿宋" w:hAnsi="仿宋" w:eastAsia="仿宋" w:cs="仿宋"/>
                <w:color w:val="2B2B2B"/>
                <w:sz w:val="32"/>
                <w:szCs w:val="32"/>
              </w:rPr>
              <w:t>杨陵区环境监察大队</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420"/>
        <w:jc w:val="left"/>
        <w:rPr>
          <w:color w:val="2B2B2B"/>
        </w:rPr>
      </w:pPr>
      <w:r>
        <w:rPr>
          <w:rFonts w:hint="eastAsia" w:ascii="微软雅黑" w:hAnsi="微软雅黑" w:eastAsia="微软雅黑" w:cs="微软雅黑"/>
          <w:color w:val="2B2B2B"/>
          <w:kern w:val="0"/>
          <w:sz w:val="24"/>
          <w:szCs w:val="24"/>
          <w:shd w:val="clear" w:fill="FFFFFF"/>
          <w:lang w:val="en-US" w:eastAsia="zh-CN" w:bidi="ar"/>
        </w:rPr>
        <w:t xml:space="preserve"> </w:t>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本年无</w:t>
            </w:r>
            <w:r>
              <w:rPr>
                <w:rFonts w:hint="eastAsia" w:ascii="宋体" w:hAnsi="宋体" w:cs="宋体"/>
                <w:color w:val="000000"/>
                <w:kern w:val="0"/>
                <w:sz w:val="24"/>
                <w:lang w:bidi="ar"/>
              </w:rPr>
              <w:t>政府性基金预算</w:t>
            </w:r>
            <w:r>
              <w:rPr>
                <w:rFonts w:hint="eastAsia" w:ascii="宋体" w:hAnsi="宋体" w:cs="宋体"/>
                <w:color w:val="000000"/>
                <w:kern w:val="0"/>
                <w:sz w:val="24"/>
                <w:lang w:eastAsia="zh-CN" w:bidi="ar"/>
              </w:rPr>
              <w:t>资金</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144.36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353.34</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454.01</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353.34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26.42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127.09</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480.43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480.43</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454.01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144.36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节能环保支出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454.01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144.36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环境保护管理事务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324.87</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74.23</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74.23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生态环境保护宣传</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245.64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230.42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21103</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污染防治</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129.14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129.14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2110301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大气</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2110302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水体</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353.34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节能环保支出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353.34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环境保护管理事务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328.82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119.59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74.23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74.23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生态环境保护宣传</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249.60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114.59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污染防治</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大气</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0.81</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21"/>
                <w:szCs w:val="21"/>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21"/>
                <w:szCs w:val="21"/>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310.46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310.46</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310.46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204.41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节能环保支出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204.41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环境保护管理事务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309.65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204.41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2110101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74.23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74.23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69.41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2110104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生态环境保护宣传</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230.42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209.23</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204.41</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155" w:type="dxa"/>
            <w:tcBorders>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203.26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203.26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62.32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62.32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xml:space="preserve">  3010</w:t>
            </w:r>
            <w:r>
              <w:rPr>
                <w:rFonts w:hint="eastAsia" w:ascii="宋体" w:hAnsi="宋体" w:cs="宋体"/>
                <w:color w:val="000000"/>
                <w:kern w:val="0"/>
                <w:szCs w:val="21"/>
                <w:lang w:val="en-US" w:eastAsia="zh-CN"/>
              </w:rPr>
              <w:t>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xml:space="preserve">  3010</w:t>
            </w:r>
            <w:r>
              <w:rPr>
                <w:rFonts w:hint="eastAsia" w:ascii="宋体" w:hAnsi="宋体" w:cs="宋体"/>
                <w:color w:val="000000"/>
                <w:kern w:val="0"/>
                <w:szCs w:val="21"/>
                <w:lang w:val="en-US" w:eastAsia="zh-CN"/>
              </w:rPr>
              <w:t>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xml:space="preserve">  3010</w:t>
            </w:r>
            <w:r>
              <w:rPr>
                <w:rFonts w:hint="eastAsia" w:ascii="宋体" w:hAnsi="宋体" w:cs="宋体"/>
                <w:color w:val="000000"/>
                <w:kern w:val="0"/>
                <w:szCs w:val="21"/>
                <w:lang w:val="en-US" w:eastAsia="zh-CN"/>
              </w:rPr>
              <w:t>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53.97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xml:space="preserve">  3010</w:t>
            </w:r>
            <w:r>
              <w:rPr>
                <w:rFonts w:hint="eastAsia" w:ascii="宋体" w:hAnsi="宋体" w:cs="宋体"/>
                <w:color w:val="000000"/>
                <w:kern w:val="0"/>
                <w:szCs w:val="21"/>
                <w:lang w:val="en-US" w:eastAsia="zh-CN"/>
              </w:rPr>
              <w:t>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xml:space="preserve">  301</w:t>
            </w:r>
            <w:r>
              <w:rPr>
                <w:rFonts w:hint="eastAsia" w:ascii="宋体" w:hAnsi="宋体" w:cs="宋体"/>
                <w:color w:val="000000"/>
                <w:kern w:val="0"/>
                <w:szCs w:val="21"/>
                <w:lang w:val="en-US" w:eastAsia="zh-CN"/>
              </w:rPr>
              <w:t>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22.51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22.51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3020</w:t>
            </w:r>
            <w:r>
              <w:rPr>
                <w:rFonts w:hint="eastAsia" w:ascii="宋体" w:hAnsi="宋体" w:cs="宋体"/>
                <w:color w:val="000000"/>
                <w:kern w:val="0"/>
                <w:szCs w:val="21"/>
                <w:lang w:val="en-US" w:eastAsia="zh-CN"/>
              </w:rPr>
              <w:t>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3020</w:t>
            </w:r>
            <w:r>
              <w:rPr>
                <w:rFonts w:hint="eastAsia" w:ascii="宋体" w:hAnsi="宋体" w:cs="宋体"/>
                <w:color w:val="000000"/>
                <w:kern w:val="0"/>
                <w:szCs w:val="21"/>
                <w:lang w:val="en-US" w:eastAsia="zh-CN"/>
              </w:rPr>
              <w:t>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3020</w:t>
            </w:r>
            <w:r>
              <w:rPr>
                <w:rFonts w:hint="eastAsia" w:ascii="宋体" w:hAnsi="宋体" w:cs="宋体"/>
                <w:color w:val="000000"/>
                <w:kern w:val="0"/>
                <w:szCs w:val="21"/>
                <w:lang w:val="en-US" w:eastAsia="zh-CN"/>
              </w:rPr>
              <w:t>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3020</w:t>
            </w:r>
            <w:r>
              <w:rPr>
                <w:rFonts w:hint="eastAsia" w:ascii="宋体" w:hAnsi="宋体" w:cs="宋体"/>
                <w:color w:val="000000"/>
                <w:kern w:val="0"/>
                <w:szCs w:val="21"/>
                <w:lang w:val="en-US" w:eastAsia="zh-CN"/>
              </w:rPr>
              <w:t>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302</w:t>
            </w:r>
            <w:r>
              <w:rPr>
                <w:rFonts w:hint="eastAsia" w:ascii="宋体" w:hAnsi="宋体" w:cs="宋体"/>
                <w:color w:val="000000"/>
                <w:kern w:val="0"/>
                <w:szCs w:val="21"/>
                <w:lang w:val="en-US" w:eastAsia="zh-CN"/>
              </w:rPr>
              <w:t>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302</w:t>
            </w:r>
            <w:r>
              <w:rPr>
                <w:rFonts w:hint="eastAsia" w:ascii="宋体" w:hAnsi="宋体" w:cs="宋体"/>
                <w:color w:val="000000"/>
                <w:kern w:val="0"/>
                <w:szCs w:val="21"/>
                <w:lang w:val="en-US" w:eastAsia="zh-CN"/>
              </w:rPr>
              <w:t>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30</w:t>
            </w:r>
            <w:r>
              <w:rPr>
                <w:rFonts w:hint="eastAsia" w:ascii="宋体" w:hAnsi="宋体" w:cs="宋体"/>
                <w:color w:val="000000"/>
                <w:kern w:val="0"/>
                <w:szCs w:val="21"/>
                <w:lang w:val="en-US" w:eastAsia="zh-CN"/>
              </w:rPr>
              <w:t>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30</w:t>
            </w:r>
            <w:r>
              <w:rPr>
                <w:rFonts w:hint="eastAsia" w:ascii="宋体" w:hAnsi="宋体" w:cs="宋体"/>
                <w:color w:val="000000"/>
                <w:kern w:val="0"/>
                <w:szCs w:val="21"/>
                <w:lang w:val="en-US" w:eastAsia="zh-CN"/>
              </w:rPr>
              <w:t>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center"/>
        <w:rPr>
          <w:rFonts w:ascii="宋体" w:hAnsi="宋体" w:cs="宋体"/>
          <w:b/>
          <w:bCs/>
          <w:sz w:val="32"/>
          <w:szCs w:val="32"/>
        </w:rPr>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1.72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0.86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0.86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0.86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杨陵区环境保护局</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firstLine="640" w:firstLineChars="200"/>
        <w:jc w:val="left"/>
        <w:rPr>
          <w:rFonts w:hint="eastAsia" w:ascii="仿宋" w:hAnsi="仿宋" w:eastAsia="仿宋" w:cs="仿宋"/>
          <w:color w:val="2B2B2B"/>
          <w:kern w:val="0"/>
          <w:sz w:val="32"/>
          <w:szCs w:val="32"/>
          <w:shd w:val="clear" w:fill="FFFFFF"/>
          <w:lang w:val="en-US" w:eastAsia="zh-CN" w:bidi="ar"/>
        </w:rPr>
      </w:pPr>
      <w:r>
        <w:rPr>
          <w:rFonts w:hint="eastAsia" w:ascii="仿宋_GB2312" w:hAnsi="仿宋" w:eastAsia="仿宋_GB2312"/>
          <w:sz w:val="32"/>
          <w:szCs w:val="32"/>
        </w:rPr>
        <w:t>2019年收入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454.01万元，</w:t>
      </w:r>
      <w:r>
        <w:rPr>
          <w:rFonts w:hint="eastAsia" w:ascii="仿宋_GB2312" w:hAnsi="仿宋" w:eastAsia="仿宋_GB2312"/>
          <w:sz w:val="32"/>
          <w:szCs w:val="32"/>
        </w:rPr>
        <w:t>比上年</w:t>
      </w:r>
      <w:r>
        <w:rPr>
          <w:rFonts w:hint="eastAsia" w:ascii="仿宋" w:hAnsi="仿宋" w:eastAsia="仿宋" w:cs="仿宋"/>
          <w:sz w:val="32"/>
          <w:szCs w:val="32"/>
          <w:lang w:eastAsia="zh-CN"/>
        </w:rPr>
        <w:t>收入</w:t>
      </w:r>
      <w:r>
        <w:rPr>
          <w:rFonts w:hint="eastAsia" w:ascii="仿宋" w:hAnsi="仿宋" w:eastAsia="仿宋" w:cs="仿宋"/>
          <w:color w:val="2B2B2B"/>
          <w:kern w:val="0"/>
          <w:sz w:val="32"/>
          <w:szCs w:val="32"/>
          <w:shd w:val="clear" w:fill="FFFFFF"/>
          <w:lang w:val="en-US" w:eastAsia="zh-CN" w:bidi="ar"/>
        </w:rPr>
        <w:t>1632.64万元</w:t>
      </w:r>
      <w:r>
        <w:rPr>
          <w:rFonts w:hint="eastAsia" w:ascii="仿宋" w:hAnsi="仿宋" w:eastAsia="仿宋" w:cs="仿宋"/>
          <w:sz w:val="32"/>
          <w:szCs w:val="32"/>
        </w:rPr>
        <w:t>减少</w:t>
      </w:r>
      <w:r>
        <w:rPr>
          <w:rFonts w:hint="eastAsia" w:ascii="仿宋" w:hAnsi="仿宋" w:eastAsia="仿宋" w:cs="仿宋"/>
          <w:sz w:val="32"/>
          <w:szCs w:val="32"/>
          <w:lang w:val="en-US" w:eastAsia="zh-CN"/>
        </w:rPr>
        <w:t>1178.63万元，减少72.2%，</w:t>
      </w:r>
      <w:r>
        <w:rPr>
          <w:rFonts w:hint="eastAsia" w:ascii="仿宋" w:hAnsi="仿宋" w:eastAsia="仿宋" w:cs="仿宋"/>
          <w:sz w:val="32"/>
          <w:szCs w:val="32"/>
          <w:lang w:eastAsia="zh-CN"/>
        </w:rPr>
        <w:t>减少</w:t>
      </w:r>
      <w:r>
        <w:rPr>
          <w:rFonts w:hint="eastAsia" w:ascii="仿宋" w:hAnsi="仿宋" w:eastAsia="仿宋" w:cs="仿宋"/>
          <w:sz w:val="32"/>
          <w:szCs w:val="32"/>
        </w:rPr>
        <w:t>的主要原因</w:t>
      </w:r>
      <w:r>
        <w:rPr>
          <w:rFonts w:hint="eastAsia" w:ascii="仿宋" w:hAnsi="仿宋" w:eastAsia="仿宋" w:cs="仿宋"/>
          <w:color w:val="2B2B2B"/>
          <w:kern w:val="0"/>
          <w:sz w:val="32"/>
          <w:szCs w:val="32"/>
          <w:shd w:val="clear" w:fill="FFFFFF"/>
          <w:lang w:val="en-US" w:eastAsia="zh-CN" w:bidi="ar"/>
        </w:rPr>
        <w:t>项目支出减少。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2019年支出</w:t>
      </w:r>
      <w:r>
        <w:rPr>
          <w:rFonts w:hint="eastAsia" w:ascii="仿宋" w:hAnsi="仿宋" w:eastAsia="仿宋" w:cs="仿宋"/>
          <w:sz w:val="32"/>
          <w:szCs w:val="32"/>
          <w:lang w:eastAsia="zh-CN"/>
        </w:rPr>
        <w:t>合计</w:t>
      </w:r>
      <w:r>
        <w:rPr>
          <w:rFonts w:hint="eastAsia" w:ascii="仿宋" w:hAnsi="仿宋" w:eastAsia="仿宋" w:cs="仿宋"/>
          <w:sz w:val="32"/>
          <w:szCs w:val="32"/>
          <w:lang w:val="en-US" w:eastAsia="zh-CN"/>
        </w:rPr>
        <w:t>353.34万元</w:t>
      </w:r>
      <w:r>
        <w:rPr>
          <w:rFonts w:hint="eastAsia" w:ascii="仿宋" w:hAnsi="仿宋" w:eastAsia="仿宋" w:cs="仿宋"/>
          <w:sz w:val="32"/>
          <w:szCs w:val="32"/>
          <w:lang w:eastAsia="zh-CN"/>
        </w:rPr>
        <w:t>，</w:t>
      </w:r>
      <w:r>
        <w:rPr>
          <w:rFonts w:hint="eastAsia" w:ascii="仿宋" w:hAnsi="仿宋" w:eastAsia="仿宋" w:cs="仿宋"/>
          <w:sz w:val="32"/>
          <w:szCs w:val="32"/>
        </w:rPr>
        <w:t>比上年</w:t>
      </w:r>
      <w:r>
        <w:rPr>
          <w:rFonts w:hint="eastAsia" w:ascii="仿宋" w:hAnsi="仿宋" w:eastAsia="仿宋" w:cs="仿宋"/>
          <w:sz w:val="32"/>
          <w:szCs w:val="32"/>
          <w:lang w:eastAsia="zh-CN"/>
        </w:rPr>
        <w:t>支出</w:t>
      </w:r>
      <w:r>
        <w:rPr>
          <w:rFonts w:hint="eastAsia" w:ascii="仿宋" w:hAnsi="仿宋" w:eastAsia="仿宋" w:cs="仿宋"/>
          <w:sz w:val="32"/>
          <w:szCs w:val="32"/>
          <w:shd w:val="clear" w:fill="FFFFFF"/>
        </w:rPr>
        <w:t>906.20万元</w:t>
      </w:r>
      <w:r>
        <w:rPr>
          <w:rFonts w:hint="eastAsia" w:ascii="仿宋" w:hAnsi="仿宋" w:eastAsia="仿宋" w:cs="仿宋"/>
          <w:sz w:val="32"/>
          <w:szCs w:val="32"/>
        </w:rPr>
        <w:t>减少</w:t>
      </w:r>
      <w:r>
        <w:rPr>
          <w:rFonts w:hint="eastAsia" w:ascii="仿宋" w:hAnsi="仿宋" w:eastAsia="仿宋" w:cs="仿宋"/>
          <w:sz w:val="32"/>
          <w:szCs w:val="32"/>
          <w:lang w:val="en-US" w:eastAsia="zh-CN"/>
        </w:rPr>
        <w:t>552.86万元，减少61%</w:t>
      </w:r>
      <w:r>
        <w:rPr>
          <w:rFonts w:hint="eastAsia" w:ascii="仿宋" w:hAnsi="仿宋" w:eastAsia="仿宋" w:cs="仿宋"/>
          <w:sz w:val="32"/>
          <w:szCs w:val="32"/>
        </w:rPr>
        <w:t>，</w:t>
      </w:r>
      <w:r>
        <w:rPr>
          <w:rFonts w:hint="eastAsia" w:ascii="仿宋" w:hAnsi="仿宋" w:eastAsia="仿宋" w:cs="仿宋"/>
          <w:sz w:val="32"/>
          <w:szCs w:val="32"/>
          <w:lang w:eastAsia="zh-CN"/>
        </w:rPr>
        <w:t>减少</w:t>
      </w:r>
      <w:r>
        <w:rPr>
          <w:rFonts w:hint="eastAsia" w:ascii="仿宋" w:hAnsi="仿宋" w:eastAsia="仿宋" w:cs="仿宋"/>
          <w:sz w:val="32"/>
          <w:szCs w:val="32"/>
        </w:rPr>
        <w:t>的主要原因</w:t>
      </w:r>
      <w:r>
        <w:rPr>
          <w:rFonts w:hint="eastAsia" w:ascii="仿宋" w:hAnsi="仿宋" w:eastAsia="仿宋" w:cs="仿宋"/>
          <w:color w:val="2B2B2B"/>
          <w:kern w:val="0"/>
          <w:sz w:val="32"/>
          <w:szCs w:val="32"/>
          <w:shd w:val="clear" w:fill="FFFFFF"/>
          <w:lang w:val="en-US" w:eastAsia="zh-CN" w:bidi="ar"/>
        </w:rPr>
        <w:t>项目支出减少</w:t>
      </w:r>
      <w:r>
        <w:rPr>
          <w:rFonts w:hint="eastAsia" w:ascii="仿宋" w:hAnsi="仿宋" w:eastAsia="仿宋" w:cs="仿宋"/>
          <w:sz w:val="32"/>
          <w:szCs w:val="32"/>
        </w:rPr>
        <w:t>。</w:t>
      </w:r>
    </w:p>
    <w:p>
      <w:pPr>
        <w:widowControl/>
        <w:ind w:firstLine="640" w:firstLineChars="200"/>
        <w:jc w:val="left"/>
        <w:rPr>
          <w:rFonts w:hint="eastAsia" w:ascii="仿宋_GB2312" w:hAnsi="仿宋" w:eastAsia="仿宋_GB2312"/>
          <w:sz w:val="32"/>
          <w:szCs w:val="32"/>
        </w:rPr>
      </w:pPr>
      <w:r>
        <w:rPr>
          <w:rFonts w:hint="eastAsia" w:ascii="仿宋" w:hAnsi="仿宋" w:eastAsia="仿宋" w:cs="仿宋"/>
          <w:color w:val="2B2B2B"/>
          <w:kern w:val="0"/>
          <w:sz w:val="32"/>
          <w:szCs w:val="32"/>
          <w:shd w:val="clear" w:fill="FFFFFF"/>
          <w:lang w:val="en-US" w:eastAsia="zh-CN" w:bidi="ar"/>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454.01</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309.65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68.2</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144.36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31.8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936490" cy="3572510"/>
            <wp:effectExtent l="4445" t="4445" r="1206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hint="eastAsia" w:ascii="仿宋_GB2312" w:hAnsi="宋体" w:eastAsia="仿宋_GB2312" w:cs="仿宋_GB2312"/>
          <w:color w:val="000000"/>
          <w:kern w:val="0"/>
          <w:sz w:val="32"/>
          <w:szCs w:val="32"/>
          <w:lang w:bidi="ar"/>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353.34</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209.23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59.2</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144.11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40.8</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4775835" cy="3495675"/>
            <wp:effectExtent l="4445" t="4445" r="2032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309.65万元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w:t>
      </w:r>
      <w:r>
        <w:rPr>
          <w:rFonts w:hint="eastAsia" w:ascii="仿宋_GB2312" w:hAnsi="仿宋" w:eastAsia="仿宋_GB2312"/>
          <w:sz w:val="32"/>
          <w:szCs w:val="32"/>
          <w:lang w:eastAsia="zh-CN"/>
        </w:rPr>
        <w:t>财政拨款收入</w:t>
      </w:r>
      <w:r>
        <w:rPr>
          <w:rFonts w:hint="eastAsia" w:ascii="仿宋" w:hAnsi="仿宋" w:eastAsia="仿宋" w:cs="仿宋"/>
          <w:color w:val="2B2B2B"/>
          <w:kern w:val="0"/>
          <w:sz w:val="32"/>
          <w:szCs w:val="32"/>
          <w:shd w:val="clear" w:fill="FFFFFF"/>
          <w:lang w:val="en-US" w:eastAsia="zh-CN" w:bidi="ar"/>
        </w:rPr>
        <w:t>729.91万元</w:t>
      </w:r>
      <w:r>
        <w:rPr>
          <w:rFonts w:hint="eastAsia" w:ascii="仿宋" w:hAnsi="仿宋" w:eastAsia="仿宋" w:cs="仿宋"/>
          <w:sz w:val="32"/>
          <w:szCs w:val="32"/>
        </w:rPr>
        <w:t>减</w:t>
      </w:r>
      <w:r>
        <w:rPr>
          <w:rFonts w:hint="eastAsia" w:ascii="仿宋_GB2312" w:hAnsi="仿宋" w:eastAsia="仿宋_GB2312"/>
          <w:sz w:val="32"/>
          <w:szCs w:val="32"/>
        </w:rPr>
        <w:t>少</w:t>
      </w:r>
      <w:r>
        <w:rPr>
          <w:rFonts w:hint="eastAsia" w:ascii="仿宋_GB2312" w:hAnsi="仿宋" w:eastAsia="仿宋_GB2312"/>
          <w:sz w:val="32"/>
          <w:szCs w:val="32"/>
          <w:lang w:val="en-US" w:eastAsia="zh-CN"/>
        </w:rPr>
        <w:t>420.26万元，减少57.6%</w:t>
      </w:r>
      <w:r>
        <w:rPr>
          <w:rFonts w:hint="eastAsia" w:ascii="仿宋_GB2312" w:hAnsi="仿宋" w:eastAsia="仿宋_GB2312"/>
          <w:sz w:val="32"/>
          <w:szCs w:val="32"/>
        </w:rPr>
        <w:t>，分析增减变化的主要原因</w:t>
      </w:r>
      <w:r>
        <w:rPr>
          <w:rFonts w:hint="eastAsia" w:ascii="仿宋_GB2312" w:hAnsi="仿宋" w:eastAsia="仿宋_GB2312"/>
          <w:sz w:val="32"/>
          <w:szCs w:val="32"/>
          <w:lang w:val="en-US" w:eastAsia="zh-CN"/>
        </w:rPr>
        <w:t>项目减少</w:t>
      </w:r>
      <w:r>
        <w:rPr>
          <w:rFonts w:hint="eastAsia" w:ascii="仿宋_GB2312" w:hAnsi="仿宋" w:eastAsia="仿宋_GB2312"/>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309.65万元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w:t>
      </w:r>
      <w:r>
        <w:rPr>
          <w:rFonts w:hint="eastAsia" w:ascii="仿宋_GB2312" w:hAnsi="仿宋" w:eastAsia="仿宋_GB2312"/>
          <w:sz w:val="32"/>
          <w:szCs w:val="32"/>
          <w:lang w:eastAsia="zh-CN"/>
        </w:rPr>
        <w:t>财政拨款支出</w:t>
      </w:r>
      <w:r>
        <w:rPr>
          <w:rFonts w:hint="eastAsia" w:ascii="仿宋" w:hAnsi="仿宋" w:eastAsia="仿宋" w:cs="仿宋"/>
          <w:color w:val="2B2B2B"/>
          <w:kern w:val="0"/>
          <w:sz w:val="32"/>
          <w:szCs w:val="32"/>
          <w:shd w:val="clear" w:fill="FFFFFF"/>
          <w:lang w:val="en-US" w:eastAsia="zh-CN" w:bidi="ar"/>
        </w:rPr>
        <w:t>729.91万元</w:t>
      </w:r>
      <w:r>
        <w:rPr>
          <w:rFonts w:hint="eastAsia" w:ascii="仿宋" w:hAnsi="仿宋" w:eastAsia="仿宋" w:cs="仿宋"/>
          <w:sz w:val="32"/>
          <w:szCs w:val="32"/>
        </w:rPr>
        <w:t>减</w:t>
      </w:r>
      <w:r>
        <w:rPr>
          <w:rFonts w:hint="eastAsia" w:ascii="仿宋_GB2312" w:hAnsi="仿宋" w:eastAsia="仿宋_GB2312"/>
          <w:sz w:val="32"/>
          <w:szCs w:val="32"/>
        </w:rPr>
        <w:t>少</w:t>
      </w:r>
      <w:r>
        <w:rPr>
          <w:rFonts w:hint="eastAsia" w:ascii="仿宋_GB2312" w:hAnsi="仿宋" w:eastAsia="仿宋_GB2312"/>
          <w:sz w:val="32"/>
          <w:szCs w:val="32"/>
          <w:lang w:val="en-US" w:eastAsia="zh-CN"/>
        </w:rPr>
        <w:t>420.26万元，减少57.6%</w:t>
      </w:r>
      <w:r>
        <w:rPr>
          <w:rFonts w:hint="eastAsia" w:ascii="仿宋_GB2312" w:hAnsi="仿宋" w:eastAsia="仿宋_GB2312"/>
          <w:sz w:val="32"/>
          <w:szCs w:val="32"/>
        </w:rPr>
        <w:t>，分析增减变化的主要原因</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项目支出减少</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309.65</w:t>
      </w:r>
      <w:r>
        <w:rPr>
          <w:rFonts w:ascii="仿宋_GB2312" w:hAnsi="宋体" w:eastAsia="仿宋_GB2312" w:cs="仿宋_GB2312"/>
          <w:color w:val="000000"/>
          <w:kern w:val="0"/>
          <w:sz w:val="32"/>
          <w:szCs w:val="32"/>
          <w:lang w:bidi="ar"/>
        </w:rPr>
        <w:t xml:space="preserve">万元，占本年支出合 </w:t>
      </w:r>
    </w:p>
    <w:p>
      <w:pPr>
        <w:widowControl/>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val="en-US" w:eastAsia="zh-CN" w:bidi="ar"/>
        </w:rPr>
        <w:t>87.6</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 w:hAnsi="仿宋" w:eastAsia="仿宋" w:cs="仿宋"/>
          <w:sz w:val="32"/>
          <w:szCs w:val="32"/>
        </w:rPr>
        <w:t>减</w:t>
      </w:r>
      <w:r>
        <w:rPr>
          <w:rFonts w:hint="eastAsia" w:ascii="仿宋_GB2312" w:hAnsi="仿宋" w:eastAsia="仿宋_GB2312"/>
          <w:sz w:val="32"/>
          <w:szCs w:val="32"/>
        </w:rPr>
        <w:t>少</w:t>
      </w:r>
      <w:r>
        <w:rPr>
          <w:rFonts w:hint="eastAsia" w:ascii="仿宋_GB2312" w:hAnsi="仿宋" w:eastAsia="仿宋_GB2312"/>
          <w:sz w:val="32"/>
          <w:szCs w:val="32"/>
          <w:lang w:val="en-US" w:eastAsia="zh-CN"/>
        </w:rPr>
        <w:t>420.26万元，减少57.6%</w:t>
      </w:r>
      <w:r>
        <w:rPr>
          <w:rFonts w:hint="eastAsia" w:ascii="仿宋_GB2312" w:hAnsi="仿宋" w:eastAsia="仿宋_GB2312"/>
          <w:sz w:val="32"/>
          <w:szCs w:val="32"/>
        </w:rPr>
        <w:t>，</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lang w:val="en-US" w:eastAsia="zh-CN" w:bidi="ar"/>
        </w:rPr>
        <w:t>项目支出减少</w:t>
      </w:r>
      <w:r>
        <w:rPr>
          <w:rFonts w:hint="eastAsia" w:ascii="仿宋_GB2312" w:hAnsi="宋体" w:eastAsia="仿宋_GB2312" w:cs="仿宋_GB2312"/>
          <w:color w:val="000000"/>
          <w:kern w:val="0"/>
          <w:sz w:val="32"/>
          <w:szCs w:val="32"/>
          <w:lang w:bidi="ar"/>
        </w:rPr>
        <w:t>。</w:t>
      </w:r>
    </w:p>
    <w:p>
      <w:pPr>
        <w:widowControl/>
        <w:jc w:val="left"/>
        <w:rPr>
          <w:rFonts w:hint="eastAsia" w:ascii="仿宋_GB2312" w:hAnsi="宋体" w:eastAsia="仿宋_GB2312" w:cs="仿宋_GB2312"/>
          <w:color w:val="000000"/>
          <w:kern w:val="0"/>
          <w:sz w:val="32"/>
          <w:szCs w:val="32"/>
          <w:lang w:eastAsia="zh-CN" w:bidi="ar"/>
        </w:rPr>
      </w:pPr>
    </w:p>
    <w:p>
      <w:pPr>
        <w:spacing w:line="360" w:lineRule="auto"/>
        <w:ind w:firstLine="640" w:firstLineChars="200"/>
        <w:rPr>
          <w:rFonts w:hint="eastAsia" w:ascii="楷体_GB2312" w:hAnsi="宋体" w:eastAsia="楷体_GB2312" w:cs="楷体_GB2312"/>
          <w:b/>
          <w:color w:val="000000"/>
          <w:kern w:val="0"/>
          <w:sz w:val="32"/>
          <w:szCs w:val="32"/>
          <w:lang w:bidi="ar"/>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（按</w:t>
      </w:r>
      <w:r>
        <w:rPr>
          <w:rFonts w:hint="eastAsia" w:ascii="仿宋_GB2312" w:hAnsi="宋体" w:eastAsia="仿宋_GB2312" w:cs="宋体"/>
          <w:sz w:val="32"/>
          <w:szCs w:val="32"/>
        </w:rPr>
        <w:t>政府功能分类科目</w:t>
      </w:r>
      <w:r>
        <w:rPr>
          <w:rFonts w:hint="eastAsia" w:ascii="仿宋_GB2312" w:hAnsi="仿宋" w:eastAsia="仿宋_GB2312"/>
          <w:sz w:val="32"/>
          <w:szCs w:val="32"/>
        </w:rPr>
        <w:t>说明支出具体内容，具体到项，</w:t>
      </w:r>
      <w:r>
        <w:rPr>
          <w:rFonts w:hint="eastAsia" w:ascii="仿宋_GB2312" w:hAnsi="仿宋_GB2312" w:eastAsia="仿宋_GB2312" w:cs="仿宋_GB2312"/>
          <w:sz w:val="32"/>
          <w:szCs w:val="32"/>
        </w:rPr>
        <w:t>文字说明</w:t>
      </w:r>
      <w:r>
        <w:rPr>
          <w:rFonts w:hint="eastAsia" w:ascii="仿宋_GB2312" w:hAnsi="仿宋" w:eastAsia="仿宋_GB2312"/>
          <w:sz w:val="32"/>
          <w:szCs w:val="32"/>
        </w:rPr>
        <w:t>）</w:t>
      </w:r>
    </w:p>
    <w:p>
      <w:pPr>
        <w:spacing w:line="360" w:lineRule="auto"/>
        <w:ind w:firstLine="640" w:firstLineChars="200"/>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eastAsia="zh-CN" w:bidi="ar"/>
        </w:rPr>
        <w:t>28</w:t>
      </w:r>
      <w:r>
        <w:rPr>
          <w:rFonts w:hint="eastAsia" w:ascii="仿宋_GB2312" w:hAnsi="宋体" w:eastAsia="仿宋_GB2312" w:cs="仿宋_GB2312"/>
          <w:color w:val="000000"/>
          <w:kern w:val="0"/>
          <w:sz w:val="32"/>
          <w:szCs w:val="32"/>
          <w:lang w:val="en-US" w:eastAsia="zh-CN" w:bidi="ar"/>
        </w:rPr>
        <w:t>2.14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309.65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109.8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环境保护管理事务</w:t>
      </w:r>
      <w:r>
        <w:rPr>
          <w:rFonts w:ascii="仿宋_GB2312" w:hAnsi="宋体" w:eastAsia="仿宋_GB2312" w:cs="仿宋_GB2312"/>
          <w:b/>
          <w:color w:val="000000"/>
          <w:kern w:val="0"/>
          <w:sz w:val="32"/>
          <w:szCs w:val="32"/>
          <w:lang w:bidi="ar"/>
        </w:rPr>
        <w:t xml:space="preserve">（款）行政运行（项）。 </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76.81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74.23</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96.6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2</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环境保护管理事务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生态环境保护宣传</w:t>
      </w:r>
      <w:r>
        <w:rPr>
          <w:rFonts w:ascii="仿宋_GB2312" w:hAnsi="宋体" w:eastAsia="仿宋_GB2312" w:cs="仿宋_GB2312"/>
          <w:b/>
          <w:color w:val="000000"/>
          <w:kern w:val="0"/>
          <w:sz w:val="32"/>
          <w:szCs w:val="32"/>
          <w:lang w:bidi="ar"/>
        </w:rPr>
        <w:t>（项）。</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ind w:firstLine="643"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3</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bidi="ar"/>
        </w:rPr>
        <w:t>节能环保支出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环境保护管理事务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其他环境保护管理事务支出</w:t>
      </w:r>
      <w:r>
        <w:rPr>
          <w:rFonts w:ascii="仿宋_GB2312" w:hAnsi="宋体" w:eastAsia="仿宋_GB2312" w:cs="仿宋_GB2312"/>
          <w:b/>
          <w:color w:val="000000"/>
          <w:kern w:val="0"/>
          <w:sz w:val="32"/>
          <w:szCs w:val="32"/>
          <w:lang w:bidi="ar"/>
        </w:rPr>
        <w:t>（项）。</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200.33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230.42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115</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加大环保力度致使支出增加</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209.23</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204.41</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4.82</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204.41</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62.32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20.87万元，奖金20万元，伙食补助费3.81万元，绩效工资53.97万元，机关事业单位基本养老保险缴费19.77万元，住房公积金22.51万元，生活补助1.06万元，奖励金0.09万元。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4.82</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0.99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，手续费</w:t>
      </w:r>
      <w:r>
        <w:rPr>
          <w:rFonts w:hint="eastAsia" w:ascii="仿宋_GB2312" w:hAnsi="宋体" w:eastAsia="仿宋_GB2312" w:cs="仿宋_GB2312"/>
          <w:color w:val="000000"/>
          <w:kern w:val="0"/>
          <w:sz w:val="32"/>
          <w:szCs w:val="32"/>
          <w:lang w:val="en-US" w:eastAsia="zh-CN" w:bidi="ar"/>
        </w:rPr>
        <w:t>0.01万元，水费0.12万元，电费1.15万元，邮电费0.34万元，工会经费1.7万元，其他交通费用0.53万元。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1.72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1.72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严格落实中央“八项规定”精神，厉行节约</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无该项发生。</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无该项发生。</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0.86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0.86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严格落实中央“八项规定”精神，厉行节约</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0.86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0.86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严格落实中央“八项规定”精神，厉行节约</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27575" cy="2724785"/>
            <wp:effectExtent l="4445" t="4445" r="11430" b="1397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lang w:val="en-US" w:eastAsia="zh-CN"/>
        </w:rPr>
        <w:t>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没有发生培训费用。</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没有举行大型会议</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95.42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95</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农村生活污水治理</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150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95.42</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63.6</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w:t>
      </w:r>
      <w:r>
        <w:rPr>
          <w:rFonts w:hint="eastAsia" w:ascii="仿宋_GB2312" w:hAnsi="仿宋_GB2312" w:eastAsia="仿宋_GB2312" w:cs="仿宋_GB2312"/>
          <w:color w:val="000000"/>
          <w:kern w:val="0"/>
          <w:sz w:val="31"/>
          <w:szCs w:val="31"/>
          <w:lang w:bidi="ar"/>
        </w:rPr>
        <w:t>加强</w:t>
      </w:r>
      <w:r>
        <w:rPr>
          <w:rFonts w:hint="eastAsia" w:ascii="仿宋_GB2312" w:hAnsi="仿宋_GB2312" w:eastAsia="仿宋_GB2312" w:cs="仿宋_GB2312"/>
          <w:color w:val="000000"/>
          <w:kern w:val="0"/>
          <w:sz w:val="31"/>
          <w:szCs w:val="31"/>
          <w:lang w:eastAsia="zh-CN" w:bidi="ar"/>
        </w:rPr>
        <w:t>了</w:t>
      </w:r>
      <w:r>
        <w:rPr>
          <w:rFonts w:hint="eastAsia" w:ascii="仿宋_GB2312" w:hAnsi="仿宋_GB2312" w:eastAsia="仿宋_GB2312" w:cs="仿宋_GB2312"/>
          <w:color w:val="000000"/>
          <w:kern w:val="0"/>
          <w:sz w:val="31"/>
          <w:szCs w:val="31"/>
          <w:lang w:bidi="ar"/>
        </w:rPr>
        <w:t>农村人居环境综合治理，</w:t>
      </w:r>
      <w:r>
        <w:rPr>
          <w:rFonts w:hint="eastAsia" w:ascii="仿宋_GB2312" w:hAnsi="仿宋_GB2312" w:eastAsia="仿宋_GB2312" w:cs="仿宋_GB2312"/>
          <w:color w:val="000000"/>
          <w:kern w:val="0"/>
          <w:sz w:val="31"/>
          <w:szCs w:val="31"/>
          <w:lang w:eastAsia="zh-CN" w:bidi="ar"/>
        </w:rPr>
        <w:t>重点</w:t>
      </w:r>
      <w:r>
        <w:rPr>
          <w:rFonts w:hint="eastAsia" w:ascii="仿宋_GB2312" w:hAnsi="仿宋_GB2312" w:eastAsia="仿宋_GB2312" w:cs="仿宋_GB2312"/>
          <w:color w:val="000000"/>
          <w:kern w:val="0"/>
          <w:sz w:val="31"/>
          <w:szCs w:val="31"/>
          <w:lang w:bidi="ar"/>
        </w:rPr>
        <w:t>治理农村</w:t>
      </w:r>
      <w:r>
        <w:rPr>
          <w:rFonts w:hint="eastAsia" w:ascii="仿宋_GB2312" w:hAnsi="仿宋_GB2312" w:eastAsia="仿宋_GB2312" w:cs="仿宋_GB2312"/>
          <w:color w:val="000000"/>
          <w:kern w:val="0"/>
          <w:sz w:val="31"/>
          <w:szCs w:val="31"/>
          <w:lang w:eastAsia="zh-CN" w:bidi="ar"/>
        </w:rPr>
        <w:t>生活污水和</w:t>
      </w:r>
      <w:r>
        <w:rPr>
          <w:rFonts w:hint="eastAsia" w:ascii="仿宋_GB2312" w:hAnsi="仿宋_GB2312" w:eastAsia="仿宋_GB2312" w:cs="仿宋_GB2312"/>
          <w:color w:val="000000"/>
          <w:kern w:val="0"/>
          <w:sz w:val="31"/>
          <w:szCs w:val="31"/>
          <w:lang w:bidi="ar"/>
        </w:rPr>
        <w:t>大气环境污染，提升农村人居生活环境质量。</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周边环境会影响本地环境，大气飘散</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提高全民环保意识，加大资金投入力度，持续加强环境治理，不断改善群众生活环境质量。</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93.25pt;width:462.7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53.65pt;width:631.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4.82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120.5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0.82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电费增加</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88D3F"/>
    <w:multiLevelType w:val="singleLevel"/>
    <w:tmpl w:val="A4188D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621A5"/>
    <w:rsid w:val="004B6D6E"/>
    <w:rsid w:val="00813F4A"/>
    <w:rsid w:val="00B80654"/>
    <w:rsid w:val="00E8111E"/>
    <w:rsid w:val="013B79AC"/>
    <w:rsid w:val="01BC3F80"/>
    <w:rsid w:val="02467700"/>
    <w:rsid w:val="03DF678D"/>
    <w:rsid w:val="03ED7D96"/>
    <w:rsid w:val="03F2557E"/>
    <w:rsid w:val="03F537D1"/>
    <w:rsid w:val="04FF5C79"/>
    <w:rsid w:val="050A1141"/>
    <w:rsid w:val="05862052"/>
    <w:rsid w:val="05DA0A7C"/>
    <w:rsid w:val="06CF2FA4"/>
    <w:rsid w:val="06D60347"/>
    <w:rsid w:val="07670DB3"/>
    <w:rsid w:val="07E224D5"/>
    <w:rsid w:val="091737B8"/>
    <w:rsid w:val="095A0940"/>
    <w:rsid w:val="098F35CE"/>
    <w:rsid w:val="09B22B5C"/>
    <w:rsid w:val="0A293E04"/>
    <w:rsid w:val="0A2B2A1B"/>
    <w:rsid w:val="0BC26537"/>
    <w:rsid w:val="0D6A2BC6"/>
    <w:rsid w:val="0DBD6F8F"/>
    <w:rsid w:val="0F9824B6"/>
    <w:rsid w:val="10BE0AFD"/>
    <w:rsid w:val="10C61EDB"/>
    <w:rsid w:val="10CD2595"/>
    <w:rsid w:val="10E42ECE"/>
    <w:rsid w:val="125E2600"/>
    <w:rsid w:val="12604F14"/>
    <w:rsid w:val="12747FB0"/>
    <w:rsid w:val="132E46A0"/>
    <w:rsid w:val="14411117"/>
    <w:rsid w:val="14587DF1"/>
    <w:rsid w:val="145A0F1E"/>
    <w:rsid w:val="155542D7"/>
    <w:rsid w:val="1586116E"/>
    <w:rsid w:val="16982E11"/>
    <w:rsid w:val="18BB4AD7"/>
    <w:rsid w:val="18D34D29"/>
    <w:rsid w:val="19260784"/>
    <w:rsid w:val="1AD86DF4"/>
    <w:rsid w:val="1AE87761"/>
    <w:rsid w:val="1B1420C5"/>
    <w:rsid w:val="1B2340FC"/>
    <w:rsid w:val="1B4A3FDA"/>
    <w:rsid w:val="1B524C98"/>
    <w:rsid w:val="1C2C5025"/>
    <w:rsid w:val="1C5E2F73"/>
    <w:rsid w:val="1D6E0C0D"/>
    <w:rsid w:val="1DB66820"/>
    <w:rsid w:val="1DF61FF3"/>
    <w:rsid w:val="1E4A7687"/>
    <w:rsid w:val="1E5E5074"/>
    <w:rsid w:val="1F693B17"/>
    <w:rsid w:val="1FCD3FBF"/>
    <w:rsid w:val="205844CC"/>
    <w:rsid w:val="21147ED0"/>
    <w:rsid w:val="21FD431B"/>
    <w:rsid w:val="221C15BB"/>
    <w:rsid w:val="223F6FAB"/>
    <w:rsid w:val="23061FB7"/>
    <w:rsid w:val="251C0067"/>
    <w:rsid w:val="25EB4878"/>
    <w:rsid w:val="2618703B"/>
    <w:rsid w:val="270B392B"/>
    <w:rsid w:val="27E37863"/>
    <w:rsid w:val="29067CC8"/>
    <w:rsid w:val="29785A6B"/>
    <w:rsid w:val="2AA53F77"/>
    <w:rsid w:val="2ACF4CCC"/>
    <w:rsid w:val="2B2F6876"/>
    <w:rsid w:val="2C65425F"/>
    <w:rsid w:val="2CA23518"/>
    <w:rsid w:val="2CF576EF"/>
    <w:rsid w:val="2D1F3974"/>
    <w:rsid w:val="2DB52EF2"/>
    <w:rsid w:val="2FCE30E1"/>
    <w:rsid w:val="2FD37D91"/>
    <w:rsid w:val="2FEB4F98"/>
    <w:rsid w:val="30280A9C"/>
    <w:rsid w:val="305D60AB"/>
    <w:rsid w:val="30B03076"/>
    <w:rsid w:val="31013CB3"/>
    <w:rsid w:val="31A26936"/>
    <w:rsid w:val="31AA6038"/>
    <w:rsid w:val="32FC179F"/>
    <w:rsid w:val="33566435"/>
    <w:rsid w:val="33887EE3"/>
    <w:rsid w:val="33F03ABC"/>
    <w:rsid w:val="34307773"/>
    <w:rsid w:val="34324911"/>
    <w:rsid w:val="34677C61"/>
    <w:rsid w:val="34740A2D"/>
    <w:rsid w:val="353A7331"/>
    <w:rsid w:val="36AA56F7"/>
    <w:rsid w:val="36DD0990"/>
    <w:rsid w:val="3730095F"/>
    <w:rsid w:val="377E1FA4"/>
    <w:rsid w:val="37F603DD"/>
    <w:rsid w:val="38985289"/>
    <w:rsid w:val="393349F1"/>
    <w:rsid w:val="39713BD0"/>
    <w:rsid w:val="3B121AD1"/>
    <w:rsid w:val="3BA87C89"/>
    <w:rsid w:val="3BBC56F7"/>
    <w:rsid w:val="3BBC7515"/>
    <w:rsid w:val="3C6A1D5D"/>
    <w:rsid w:val="3C876B2F"/>
    <w:rsid w:val="3C93607A"/>
    <w:rsid w:val="3CFD0D2E"/>
    <w:rsid w:val="3D0C500A"/>
    <w:rsid w:val="3D64756D"/>
    <w:rsid w:val="3D8E4946"/>
    <w:rsid w:val="3DEE3543"/>
    <w:rsid w:val="3E326476"/>
    <w:rsid w:val="3E4D0B8F"/>
    <w:rsid w:val="3FD25217"/>
    <w:rsid w:val="3FFA6B18"/>
    <w:rsid w:val="400707A8"/>
    <w:rsid w:val="41102219"/>
    <w:rsid w:val="415E28B1"/>
    <w:rsid w:val="41603979"/>
    <w:rsid w:val="41CF436B"/>
    <w:rsid w:val="43E81948"/>
    <w:rsid w:val="443D1CCC"/>
    <w:rsid w:val="453937BB"/>
    <w:rsid w:val="458D3A04"/>
    <w:rsid w:val="4619368A"/>
    <w:rsid w:val="471F2499"/>
    <w:rsid w:val="476C36F7"/>
    <w:rsid w:val="47F951F0"/>
    <w:rsid w:val="48E36583"/>
    <w:rsid w:val="4B2264AE"/>
    <w:rsid w:val="4C4051CD"/>
    <w:rsid w:val="4C9C7556"/>
    <w:rsid w:val="4D405288"/>
    <w:rsid w:val="4D6E0FDF"/>
    <w:rsid w:val="4E4E2C90"/>
    <w:rsid w:val="4EDE76B3"/>
    <w:rsid w:val="4EE4307A"/>
    <w:rsid w:val="4FCA4964"/>
    <w:rsid w:val="5153143F"/>
    <w:rsid w:val="517213FD"/>
    <w:rsid w:val="519F0005"/>
    <w:rsid w:val="528B7A5D"/>
    <w:rsid w:val="530C6059"/>
    <w:rsid w:val="5362575E"/>
    <w:rsid w:val="538D18D3"/>
    <w:rsid w:val="547C5AD8"/>
    <w:rsid w:val="54BA7F50"/>
    <w:rsid w:val="54F12DEE"/>
    <w:rsid w:val="556F3B97"/>
    <w:rsid w:val="55BD6CE6"/>
    <w:rsid w:val="562175C5"/>
    <w:rsid w:val="580E47D3"/>
    <w:rsid w:val="5855341E"/>
    <w:rsid w:val="585835C9"/>
    <w:rsid w:val="58EF0151"/>
    <w:rsid w:val="59033293"/>
    <w:rsid w:val="5950495B"/>
    <w:rsid w:val="596B06A5"/>
    <w:rsid w:val="5A0869C3"/>
    <w:rsid w:val="5A8F43F2"/>
    <w:rsid w:val="5B8D564A"/>
    <w:rsid w:val="5BE24391"/>
    <w:rsid w:val="5CD933C5"/>
    <w:rsid w:val="5D463A58"/>
    <w:rsid w:val="5D8E285D"/>
    <w:rsid w:val="5E2217D0"/>
    <w:rsid w:val="5E3522CA"/>
    <w:rsid w:val="5F1F5F59"/>
    <w:rsid w:val="5F8B0295"/>
    <w:rsid w:val="601108F4"/>
    <w:rsid w:val="603A57E7"/>
    <w:rsid w:val="619C67BB"/>
    <w:rsid w:val="62872F3F"/>
    <w:rsid w:val="63C934B2"/>
    <w:rsid w:val="64481EEC"/>
    <w:rsid w:val="648B2803"/>
    <w:rsid w:val="64FB6ED8"/>
    <w:rsid w:val="65074FBA"/>
    <w:rsid w:val="65AC188B"/>
    <w:rsid w:val="661C6560"/>
    <w:rsid w:val="66AC29FD"/>
    <w:rsid w:val="671D5A9B"/>
    <w:rsid w:val="673E7E1D"/>
    <w:rsid w:val="690C5393"/>
    <w:rsid w:val="69512523"/>
    <w:rsid w:val="69542BE4"/>
    <w:rsid w:val="6A1C62DF"/>
    <w:rsid w:val="6A350E0C"/>
    <w:rsid w:val="6A4652DC"/>
    <w:rsid w:val="6B5B45E8"/>
    <w:rsid w:val="6C6B50F4"/>
    <w:rsid w:val="6CC73885"/>
    <w:rsid w:val="6D3E43C9"/>
    <w:rsid w:val="6E071299"/>
    <w:rsid w:val="6FEB44AC"/>
    <w:rsid w:val="705600ED"/>
    <w:rsid w:val="705B5752"/>
    <w:rsid w:val="71037481"/>
    <w:rsid w:val="71086DB5"/>
    <w:rsid w:val="71C12581"/>
    <w:rsid w:val="722A1CEF"/>
    <w:rsid w:val="728F7F88"/>
    <w:rsid w:val="72944086"/>
    <w:rsid w:val="74120E2C"/>
    <w:rsid w:val="75C31473"/>
    <w:rsid w:val="76E10363"/>
    <w:rsid w:val="789D0EDF"/>
    <w:rsid w:val="78AA3B17"/>
    <w:rsid w:val="78BF0BB5"/>
    <w:rsid w:val="7A4D6BA8"/>
    <w:rsid w:val="7AA65B05"/>
    <w:rsid w:val="7AF6376D"/>
    <w:rsid w:val="7B410B4E"/>
    <w:rsid w:val="7C2651B8"/>
    <w:rsid w:val="7C3E5E46"/>
    <w:rsid w:val="7C5B5A63"/>
    <w:rsid w:val="7CF6481F"/>
    <w:rsid w:val="7DD00F90"/>
    <w:rsid w:val="7DD12489"/>
    <w:rsid w:val="7DD63161"/>
    <w:rsid w:val="7DF01BF1"/>
    <w:rsid w:val="7EE759C2"/>
    <w:rsid w:val="7F842342"/>
    <w:rsid w:val="7F8F0E35"/>
    <w:rsid w:val="7F9F2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alloon Text"/>
    <w:basedOn w:val="1"/>
    <w:link w:val="2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2B2B"/>
      <w:kern w:val="0"/>
      <w:sz w:val="24"/>
      <w:lang w:val="en-US" w:eastAsia="zh-CN" w:bidi="ar"/>
    </w:rPr>
  </w:style>
  <w:style w:type="paragraph" w:styleId="7">
    <w:name w:val="annotation subject"/>
    <w:basedOn w:val="2"/>
    <w:next w:val="2"/>
    <w:link w:val="21"/>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000000"/>
      <w:u w:val="none"/>
    </w:rPr>
  </w:style>
  <w:style w:type="character" w:styleId="17">
    <w:name w:val="HTML Code"/>
    <w:basedOn w:val="10"/>
    <w:qFormat/>
    <w:uiPriority w:val="0"/>
    <w:rPr>
      <w:rFonts w:ascii="Courier New" w:hAnsi="Courier New"/>
      <w:sz w:val="20"/>
    </w:rPr>
  </w:style>
  <w:style w:type="character" w:styleId="18">
    <w:name w:val="annotation reference"/>
    <w:basedOn w:val="10"/>
    <w:qFormat/>
    <w:uiPriority w:val="0"/>
    <w:rPr>
      <w:sz w:val="21"/>
      <w:szCs w:val="21"/>
    </w:rPr>
  </w:style>
  <w:style w:type="character" w:styleId="19">
    <w:name w:val="HTML Cite"/>
    <w:basedOn w:val="10"/>
    <w:qFormat/>
    <w:uiPriority w:val="0"/>
  </w:style>
  <w:style w:type="character" w:customStyle="1" w:styleId="20">
    <w:name w:val="批注文字 字符"/>
    <w:basedOn w:val="10"/>
    <w:link w:val="2"/>
    <w:qFormat/>
    <w:uiPriority w:val="0"/>
    <w:rPr>
      <w:rFonts w:ascii="Calibri" w:hAnsi="Calibri" w:cs="黑体"/>
      <w:kern w:val="2"/>
      <w:sz w:val="21"/>
      <w:szCs w:val="24"/>
    </w:rPr>
  </w:style>
  <w:style w:type="character" w:customStyle="1" w:styleId="21">
    <w:name w:val="批注主题 字符"/>
    <w:basedOn w:val="20"/>
    <w:link w:val="7"/>
    <w:qFormat/>
    <w:uiPriority w:val="0"/>
    <w:rPr>
      <w:rFonts w:ascii="Calibri" w:hAnsi="Calibri" w:cs="黑体"/>
      <w:b/>
      <w:bCs/>
      <w:kern w:val="2"/>
      <w:sz w:val="21"/>
      <w:szCs w:val="24"/>
    </w:rPr>
  </w:style>
  <w:style w:type="character" w:customStyle="1" w:styleId="22">
    <w:name w:val="批注框文本 字符"/>
    <w:basedOn w:val="10"/>
    <w:link w:val="3"/>
    <w:qFormat/>
    <w:uiPriority w:val="0"/>
    <w:rPr>
      <w:rFonts w:ascii="Calibri" w:hAnsi="Calibri" w:cs="黑体"/>
      <w:kern w:val="2"/>
      <w:sz w:val="18"/>
      <w:szCs w:val="18"/>
    </w:rPr>
  </w:style>
  <w:style w:type="character" w:customStyle="1" w:styleId="23">
    <w:name w:val="current"/>
    <w:basedOn w:val="10"/>
    <w:qFormat/>
    <w:uiPriority w:val="0"/>
    <w:rPr>
      <w:color w:val="FFFFFF"/>
      <w:bdr w:val="single" w:color="FF9C00" w:sz="6" w:space="0"/>
      <w:shd w:val="clear" w:fill="FF9C00"/>
    </w:rPr>
  </w:style>
  <w:style w:type="character" w:customStyle="1" w:styleId="24">
    <w:name w:val="disabled"/>
    <w:basedOn w:val="10"/>
    <w:qFormat/>
    <w:uiPriority w:val="0"/>
    <w:rPr>
      <w:color w:val="BFBFBF"/>
      <w:bdr w:val="single" w:color="BFBFBF" w:sz="6" w:space="0"/>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delete val="1"/>
          </c:dLbls>
          <c:cat>
            <c:strRef>
              <c:f>Sheet1!$A$2:$A$3</c:f>
              <c:strCache>
                <c:ptCount val="2"/>
                <c:pt idx="0">
                  <c:v>行政编制</c:v>
                </c:pt>
                <c:pt idx="1">
                  <c:v>事业编制</c:v>
                </c:pt>
              </c:strCache>
            </c:strRef>
          </c:cat>
          <c:val>
            <c:numRef>
              <c:f>Sheet1!$B$2:$B$3</c:f>
              <c:numCache>
                <c:formatCode>General</c:formatCode>
                <c:ptCount val="2"/>
                <c:pt idx="0">
                  <c:v>4</c:v>
                </c:pt>
                <c:pt idx="1">
                  <c:v>12</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Sheet1!$A$2:$A$3</c:f>
              <c:strCache>
                <c:ptCount val="2"/>
                <c:pt idx="0">
                  <c:v>行政编制</c:v>
                </c:pt>
                <c:pt idx="1">
                  <c:v>事业编制</c:v>
                </c:pt>
              </c:strCache>
            </c:strRef>
          </c:cat>
          <c:val>
            <c:numRef>
              <c:f>Sheet1!$C$2:$C$3</c:f>
              <c:numCache>
                <c:formatCode>General</c:formatCode>
                <c:ptCount val="2"/>
                <c:pt idx="0">
                  <c:v>3</c:v>
                </c:pt>
                <c:pt idx="1">
                  <c:v>14</c:v>
                </c:pt>
              </c:numCache>
            </c:numRef>
          </c:val>
        </c:ser>
        <c:dLbls>
          <c:showLegendKey val="0"/>
          <c:showVal val="0"/>
          <c:showCatName val="0"/>
          <c:showSerName val="0"/>
          <c:showPercent val="0"/>
          <c:showBubbleSize val="0"/>
        </c:dLbls>
        <c:gapWidth val="219"/>
        <c:overlap val="-27"/>
        <c:axId val="28682504"/>
        <c:axId val="803940054"/>
      </c:barChart>
      <c:catAx>
        <c:axId val="28682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940054"/>
        <c:crosses val="autoZero"/>
        <c:auto val="1"/>
        <c:lblAlgn val="ctr"/>
        <c:lblOffset val="100"/>
        <c:noMultiLvlLbl val="0"/>
      </c:catAx>
      <c:valAx>
        <c:axId val="8039400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82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1632.64</c:v>
                </c:pt>
                <c:pt idx="1">
                  <c:v>906.2</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454.01</c:v>
                </c:pt>
                <c:pt idx="1">
                  <c:v>353.34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85823579"/>
        <c:axId val="861536061"/>
      </c:barChart>
      <c:catAx>
        <c:axId val="8858235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536061"/>
        <c:crosses val="autoZero"/>
        <c:auto val="1"/>
        <c:lblAlgn val="ctr"/>
        <c:lblOffset val="100"/>
        <c:noMultiLvlLbl val="0"/>
      </c:catAx>
      <c:valAx>
        <c:axId val="8615360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823579"/>
        <c:crosses val="autoZero"/>
        <c:crossBetween val="between"/>
      </c:valAx>
      <c:spPr>
        <a:noFill/>
        <a:ln>
          <a:noFill/>
        </a:ln>
        <a:effectLst/>
      </c:spPr>
    </c:plotArea>
    <c:legend>
      <c:legendPos val="b"/>
      <c:legendEntry>
        <c:idx val="2"/>
        <c:delete val="1"/>
      </c:legendEntry>
      <c:layout>
        <c:manualLayout>
          <c:xMode val="edge"/>
          <c:yMode val="edge"/>
          <c:x val="0.38612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收入决算情况</c:v>
                </c:pt>
              </c:strCache>
            </c:strRef>
          </c:tx>
          <c:spPr/>
          <c:explosion val="0"/>
          <c:dPt>
            <c:idx val="0"/>
            <c:bubble3D val="0"/>
            <c:explosion val="2"/>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财政拨款收入</c:v>
                </c:pt>
                <c:pt idx="1">
                  <c:v>其他收入</c:v>
                </c:pt>
              </c:strCache>
            </c:strRef>
          </c:cat>
          <c:val>
            <c:numRef>
              <c:f>Sheet1!$B$2:$B$3</c:f>
              <c:numCache>
                <c:formatCode>General</c:formatCode>
                <c:ptCount val="2"/>
                <c:pt idx="0">
                  <c:v>309.65</c:v>
                </c:pt>
                <c:pt idx="1">
                  <c:v>144.36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209.23</c:v>
                </c:pt>
                <c:pt idx="1">
                  <c:v>144.11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manualLayout>
          <c:layoutTarget val="inner"/>
          <c:xMode val="edge"/>
          <c:yMode val="edge"/>
          <c:x val="0.0692"/>
          <c:y val="0.127"/>
          <c:w val="0.905175"/>
          <c:h val="0.716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729.91</c:v>
                </c:pt>
                <c:pt idx="1">
                  <c:v>729.91</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309.65</c:v>
                </c:pt>
                <c:pt idx="1">
                  <c:v>309.65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17658900"/>
        <c:axId val="620929835"/>
      </c:barChart>
      <c:catAx>
        <c:axId val="517658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929835"/>
        <c:crosses val="autoZero"/>
        <c:auto val="1"/>
        <c:lblAlgn val="ctr"/>
        <c:lblOffset val="100"/>
        <c:noMultiLvlLbl val="0"/>
      </c:catAx>
      <c:valAx>
        <c:axId val="6209298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658900"/>
        <c:crosses val="autoZero"/>
        <c:crossBetween val="between"/>
      </c:valAx>
      <c:spPr>
        <a:noFill/>
        <a:ln>
          <a:noFill/>
        </a:ln>
        <a:effectLst/>
      </c:spPr>
    </c:plotArea>
    <c:legend>
      <c:legendPos val="b"/>
      <c:legendEntry>
        <c:idx val="2"/>
        <c:delete val="1"/>
      </c:legendEntry>
      <c:layout>
        <c:manualLayout>
          <c:xMode val="edge"/>
          <c:yMode val="edge"/>
          <c:x val="0.32775"/>
          <c:y val="0.921666666666667"/>
          <c:w val="0.33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a:t>
            </a:r>
          </a:p>
        </c:rich>
      </c:tx>
      <c:layout/>
      <c:overlay val="0"/>
      <c:spPr>
        <a:noFill/>
        <a:ln>
          <a:noFill/>
        </a:ln>
        <a:effectLst/>
      </c:spPr>
    </c:title>
    <c:autoTitleDeleted val="0"/>
    <c:plotArea>
      <c:layout>
        <c:manualLayout>
          <c:layoutTarget val="inner"/>
          <c:xMode val="edge"/>
          <c:yMode val="edge"/>
          <c:x val="0.0692"/>
          <c:y val="0.127"/>
          <c:w val="0.905175"/>
          <c:h val="0.716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c:f>
              <c:strCache>
                <c:ptCount val="1"/>
                <c:pt idx="0">
                  <c:v>财政拨款支出</c:v>
                </c:pt>
              </c:strCache>
            </c:strRef>
          </c:cat>
          <c:val>
            <c:numRef>
              <c:f>Sheet1!$B$2</c:f>
              <c:numCache>
                <c:formatCode>General</c:formatCode>
                <c:ptCount val="1"/>
                <c:pt idx="0">
                  <c:v>729.91</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c:f>
              <c:strCache>
                <c:ptCount val="1"/>
                <c:pt idx="0">
                  <c:v>财政拨款支出</c:v>
                </c:pt>
              </c:strCache>
            </c:strRef>
          </c:cat>
          <c:val>
            <c:numRef>
              <c:f>Sheet1!$C$2</c:f>
              <c:numCache>
                <c:formatCode>General</c:formatCode>
                <c:ptCount val="1"/>
                <c:pt idx="0">
                  <c:v>309.65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17658900"/>
        <c:axId val="620929835"/>
      </c:barChart>
      <c:catAx>
        <c:axId val="517658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929835"/>
        <c:crosses val="autoZero"/>
        <c:auto val="1"/>
        <c:lblAlgn val="ctr"/>
        <c:lblOffset val="100"/>
        <c:noMultiLvlLbl val="0"/>
      </c:catAx>
      <c:valAx>
        <c:axId val="6209298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658900"/>
        <c:crosses val="autoZero"/>
        <c:crossBetween val="between"/>
      </c:valAx>
      <c:spPr>
        <a:noFill/>
        <a:ln>
          <a:noFill/>
        </a:ln>
        <a:effectLst/>
      </c:spPr>
    </c:plotArea>
    <c:legend>
      <c:legendPos val="b"/>
      <c:legendEntry>
        <c:idx val="2"/>
        <c:delete val="1"/>
      </c:legendEntry>
      <c:layout>
        <c:manualLayout>
          <c:xMode val="edge"/>
          <c:yMode val="edge"/>
          <c:x val="0.3015"/>
          <c:y val="0.899166666666667"/>
          <c:w val="0.3091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因公出国（境）支出</c:v>
                </c:pt>
                <c:pt idx="1">
                  <c:v>公务用车购置费用支出</c:v>
                </c:pt>
                <c:pt idx="2">
                  <c:v>公务用车运行维护费用支出</c:v>
                </c:pt>
                <c:pt idx="3">
                  <c:v>公务接待费支出</c:v>
                </c:pt>
              </c:strCache>
            </c:strRef>
          </c:cat>
          <c:val>
            <c:numRef>
              <c:f>Sheet1!$B$2:$B$5</c:f>
              <c:numCache>
                <c:formatCode>General</c:formatCode>
                <c:ptCount val="4"/>
                <c:pt idx="0">
                  <c:v>0</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2</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隨緣兩全其美❀</cp:lastModifiedBy>
  <cp:lastPrinted>2020-11-10T02:54:00Z</cp:lastPrinted>
  <dcterms:modified xsi:type="dcterms:W3CDTF">2020-11-11T03:11:28Z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