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中国人民政治协商会议咸阳市杨陵区</w:t>
      </w:r>
    </w:p>
    <w:p>
      <w:pPr>
        <w:spacing w:line="560" w:lineRule="exact"/>
        <w:jc w:val="center"/>
        <w:rPr>
          <w:rFonts w:ascii="宋体" w:cs="宋体"/>
          <w:b/>
          <w:bCs/>
          <w:sz w:val="48"/>
          <w:szCs w:val="48"/>
        </w:rPr>
      </w:pPr>
      <w:r>
        <w:rPr>
          <w:rFonts w:hint="eastAsia" w:ascii="宋体" w:hAnsi="宋体" w:cs="宋体"/>
          <w:b/>
          <w:bCs/>
          <w:sz w:val="48"/>
          <w:szCs w:val="48"/>
        </w:rPr>
        <w:t>委员会办公室</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中国人民政治协商会议咸阳市杨陵区委员会办公室是杨陵区政协下设的正科级工作部门，主要任务是负责政协全委会、常委会、主席会和专门委员会的会务工作，组织实施会议的决议、决定等，组织委员通过调研、视察、学习、专题协商、提案等形式履行政治协商、参政议政、民主监督职能，对杨陵区的大政方针以及政治、经济、文化和社会生活中的重要问题建言献策。</w:t>
      </w:r>
    </w:p>
    <w:p>
      <w:pPr>
        <w:widowControl/>
        <w:numPr>
          <w:ilvl w:val="0"/>
          <w:numId w:val="1"/>
        </w:numPr>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pPr>
        <w:widowControl/>
        <w:jc w:val="left"/>
        <w:rPr>
          <w:rFonts w:ascii="楷体" w:hAnsi="楷体" w:eastAsia="仿宋_GB2312" w:cs="楷体"/>
          <w:b/>
          <w:bCs/>
          <w:color w:val="000000"/>
          <w:kern w:val="0"/>
          <w:sz w:val="32"/>
          <w:szCs w:val="32"/>
        </w:rPr>
      </w:pPr>
      <w:r>
        <w:rPr>
          <w:rFonts w:hint="eastAsia" w:ascii="楷体" w:hAnsi="楷体" w:eastAsia="楷体" w:cs="楷体"/>
          <w:b/>
          <w:bCs/>
          <w:color w:val="000000"/>
          <w:kern w:val="0"/>
          <w:sz w:val="32"/>
          <w:szCs w:val="32"/>
        </w:rPr>
        <w:t xml:space="preserve">  </w:t>
      </w:r>
      <w:r>
        <w:rPr>
          <w:rFonts w:hint="eastAsia" w:ascii="仿宋_GB2312" w:hAnsi="仿宋_GB2312" w:eastAsia="仿宋_GB2312" w:cs="仿宋_GB2312"/>
          <w:color w:val="2B2B2B"/>
          <w:sz w:val="32"/>
          <w:szCs w:val="32"/>
        </w:rPr>
        <w:t xml:space="preserve">  政协杨陵区委员会设办公室和5个工作委员会，中国人民政治协商会议咸阳市杨陵区委员会办公室仅包含办公室本级。</w:t>
      </w:r>
    </w:p>
    <w:p>
      <w:pPr>
        <w:widowControl/>
        <w:ind w:firstLine="640" w:firstLineChars="200"/>
        <w:jc w:val="left"/>
      </w:pPr>
      <w:r>
        <w:rPr>
          <w:rFonts w:hint="eastAsia" w:ascii="黑体" w:hAnsi="宋体" w:eastAsia="黑体"/>
          <w:color w:val="000000"/>
          <w:kern w:val="0"/>
          <w:sz w:val="32"/>
          <w:szCs w:val="32"/>
        </w:rPr>
        <w:t>二、部门决算单位构成</w:t>
      </w:r>
    </w:p>
    <w:p>
      <w:pPr>
        <w:pStyle w:val="6"/>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年本部门决算编制范围的单位共1个，</w:t>
      </w:r>
      <w:r>
        <w:rPr>
          <w:rFonts w:hint="eastAsia" w:ascii="仿宋_GB2312" w:hAnsi="仿宋_GB2312" w:eastAsia="仿宋_GB2312" w:cs="仿宋_GB2312"/>
          <w:color w:val="2B2B2B"/>
          <w:sz w:val="32"/>
          <w:szCs w:val="32"/>
        </w:rPr>
        <w:t>仅包括部门本级（机关）决算</w:t>
      </w:r>
      <w:r>
        <w:rPr>
          <w:rFonts w:hint="eastAsia" w:ascii="仿宋_GB2312" w:hAnsi="仿宋_GB2312" w:eastAsia="仿宋_GB2312" w:cs="仿宋_GB2312"/>
          <w:sz w:val="32"/>
          <w:szCs w:val="32"/>
        </w:rPr>
        <w:t>：</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1</w:t>
            </w:r>
          </w:p>
        </w:tc>
        <w:tc>
          <w:tcPr>
            <w:tcW w:w="7278" w:type="dxa"/>
            <w:vAlign w:val="center"/>
          </w:tcPr>
          <w:p>
            <w:pPr>
              <w:spacing w:line="560" w:lineRule="exact"/>
              <w:jc w:val="center"/>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中国人民政治协商会议咸阳市杨陵区委员会</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办公室（本级）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w:t>
      </w:r>
      <w:r>
        <w:rPr>
          <w:rFonts w:hint="eastAsia" w:ascii="仿宋_GB2312" w:hAnsi="仿宋_GB2312" w:eastAsia="仿宋_GB2312" w:cs="仿宋_GB2312"/>
          <w:color w:val="2B2B2B"/>
          <w:sz w:val="32"/>
          <w:szCs w:val="32"/>
        </w:rPr>
        <w:t>中国人民政治协商会议咸阳市杨陵区委员会办公室总编制23人，其中行政编制23人、事业编制0人；实有在职人员22人，其中行政人员22人，事业人员0人，单位管理的离退休人员12人。</w:t>
      </w:r>
    </w:p>
    <w:p>
      <w:pPr>
        <w:pStyle w:val="6"/>
        <w:widowControl w:val="0"/>
        <w:shd w:val="clear" w:color="auto" w:fill="FFFFFF"/>
        <w:spacing w:before="0" w:beforeAutospacing="0" w:after="0" w:afterAutospacing="0" w:line="560" w:lineRule="exact"/>
        <w:ind w:firstLine="480" w:firstLineChars="200"/>
        <w:rPr>
          <w:rFonts w:ascii="仿宋_GB2312" w:hAnsi="仿宋_GB2312" w:eastAsia="仿宋_GB2312" w:cs="仿宋_GB2312"/>
          <w:color w:val="2B2B2B"/>
          <w:sz w:val="32"/>
          <w:szCs w:val="32"/>
        </w:rPr>
      </w:pPr>
      <w:r>
        <w:pict>
          <v:shape id="图表 1" o:spid="_x0000_s1027" o:spt="75" type="#_x0000_t75" style="position:absolute;left:0pt;margin-left:35pt;margin-top:11.8pt;height:257.3pt;width:366.45pt;mso-wrap-distance-bottom:0pt;mso-wrap-distance-left:9pt;mso-wrap-distance-right:9pt;mso-wrap-distance-top:0pt;z-index:1024;mso-width-relative:page;mso-height-relative:page;" filled="f" o:preferrelative="t" stroked="f" coordsize="21600,21600" o:gfxdata="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">
            <v:path/>
            <v:fill on="f" focussize="0,0"/>
            <v:stroke on="f" joinstyle="miter"/>
            <v:imagedata r:id="rId10" o:title=""/>
            <o:lock v:ext="edit" aspectratio="f"/>
            <w10:wrap type="square"/>
          </v:shape>
        </w:pict>
      </w: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pStyle w:val="6"/>
        <w:widowControl w:val="0"/>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p>
    <w:p>
      <w:pPr>
        <w:widowControl/>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本部门无政府性基金</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cs="宋体"/>
          <w:b/>
          <w:bCs/>
          <w:sz w:val="32"/>
          <w:szCs w:val="32"/>
        </w:rPr>
      </w:pPr>
      <w:r>
        <w:rPr>
          <w:rFonts w:ascii="宋体" w:cs="宋体"/>
          <w:b/>
          <w:color w:val="000000"/>
          <w:kern w:val="0"/>
          <w:sz w:val="40"/>
          <w:szCs w:val="40"/>
        </w:rPr>
        <w:br w:type="page"/>
      </w: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jc w:val="left"/>
        <w:rPr>
          <w:rFonts w:ascii="宋体" w:cs="宋体"/>
          <w:b/>
          <w:bCs/>
          <w:szCs w:val="21"/>
        </w:rPr>
      </w:pPr>
      <w:r>
        <w:rPr>
          <w:rFonts w:hint="eastAsia" w:ascii="宋体" w:hAnsi="宋体" w:cs="宋体"/>
          <w:b/>
          <w:bCs/>
          <w:kern w:val="10"/>
          <w:szCs w:val="21"/>
        </w:rPr>
        <w:t>编制部门：中国人民政治协商会议咸阳市杨陵区委员会办公室</w:t>
      </w:r>
      <w:r>
        <w:rPr>
          <w:rFonts w:ascii="宋体" w:hAnsi="宋体" w:cs="宋体"/>
          <w:b/>
          <w:bCs/>
          <w:kern w:val="10"/>
          <w:szCs w:val="21"/>
        </w:rPr>
        <w:t xml:space="preserve"> </w:t>
      </w:r>
      <w:r>
        <w:rPr>
          <w:rFonts w:hint="eastAsia" w:ascii="宋体" w:hAnsi="宋体" w:cs="宋体"/>
          <w:b/>
          <w:bCs/>
          <w:kern w:val="10"/>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hint="eastAsia" w:ascii="宋体" w:cs="宋体"/>
                <w:color w:val="000000"/>
                <w:szCs w:val="21"/>
              </w:rPr>
              <w:t>1.05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color w:val="000000"/>
                <w:szCs w:val="21"/>
              </w:rPr>
            </w:pPr>
            <w:r>
              <w:rPr>
                <w:rFonts w:hint="eastAsia" w:ascii="宋体" w:hAnsi="宋体" w:cs="宋体"/>
                <w:color w:val="000000"/>
                <w:kern w:val="0"/>
                <w:szCs w:val="21"/>
              </w:rPr>
              <w:t>400.05</w:t>
            </w:r>
            <w:r>
              <w:rPr>
                <w:rFonts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cs="宋体"/>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hint="eastAsia" w:ascii="宋体" w:cs="宋体"/>
                <w:bCs/>
                <w:color w:val="000000"/>
                <w:szCs w:val="21"/>
              </w:rPr>
              <w:t>0.23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0.28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400.28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400.28</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jc w:val="left"/>
        <w:rPr>
          <w:rFonts w:ascii="宋体" w:cs="宋体"/>
          <w:b/>
          <w:bCs/>
          <w:sz w:val="48"/>
          <w:szCs w:val="48"/>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asci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400.05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1.05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jc w:val="left"/>
        <w:rPr>
          <w:rFonts w:ascii="宋体" w:cs="宋体"/>
          <w:b/>
          <w:bCs/>
          <w:sz w:val="48"/>
          <w:szCs w:val="48"/>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365.62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34.38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hint="eastAsia" w:ascii="宋体" w:cs="宋体"/>
                <w:color w:val="000000"/>
                <w:szCs w:val="21"/>
              </w:rPr>
              <w:t>398.95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398.95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金额单位：万元</w:t>
      </w:r>
    </w:p>
    <w:p>
      <w:pPr>
        <w:jc w:val="left"/>
        <w:rPr>
          <w:rFonts w:ascii="宋体" w:cs="宋体"/>
          <w:b/>
          <w:bCs/>
          <w:szCs w:val="21"/>
        </w:rPr>
      </w:pPr>
      <w:r>
        <w:rPr>
          <w:rFonts w:ascii="宋体" w:hAnsi="宋体" w:cs="宋体"/>
          <w:b/>
          <w:bCs/>
          <w:szCs w:val="21"/>
        </w:rPr>
        <w:t xml:space="preserve">   </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hint="eastAsia" w:ascii="宋体" w:hAnsi="宋体" w:cs="宋体"/>
                <w:color w:val="000000"/>
                <w:kern w:val="0"/>
                <w:szCs w:val="21"/>
              </w:rPr>
              <w:t>399</w:t>
            </w:r>
            <w:r>
              <w:rPr>
                <w:rFonts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398.95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398.95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kern w:val="0"/>
                <w:szCs w:val="21"/>
              </w:rPr>
            </w:pPr>
            <w:r>
              <w:rPr>
                <w:rFonts w:hint="eastAsia" w:ascii="宋体" w:cs="宋体"/>
                <w:color w:val="000000"/>
                <w:kern w:val="0"/>
                <w:szCs w:val="21"/>
              </w:rPr>
              <w:t>0.23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0.28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0.28</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r>
              <w:rPr>
                <w:rFonts w:hint="eastAsia" w:ascii="宋体" w:cs="宋体"/>
                <w:color w:val="000000"/>
                <w:kern w:val="0"/>
                <w:szCs w:val="21"/>
              </w:rPr>
              <w:t>399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kern w:val="0"/>
                <w:szCs w:val="21"/>
              </w:rPr>
            </w:pPr>
            <w:r>
              <w:rPr>
                <w:rFonts w:hint="eastAsia" w:ascii="宋体" w:cs="宋体"/>
                <w:color w:val="000000"/>
                <w:kern w:val="0"/>
                <w:szCs w:val="21"/>
              </w:rPr>
              <w:t>399.23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399.23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hint="eastAsia" w:ascii="宋体" w:cs="宋体"/>
                <w:bCs/>
                <w:color w:val="000000"/>
                <w:kern w:val="0"/>
                <w:szCs w:val="21"/>
              </w:rPr>
              <w:t>399.23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398.95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365.62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326.59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33.32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20102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政协事务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398.95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365.62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326.59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33.32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left="420" w:hanging="420" w:hangingChars="200"/>
              <w:jc w:val="left"/>
              <w:textAlignment w:val="center"/>
              <w:rPr>
                <w:rFonts w:ascii="宋体" w:hAnsi="宋体" w:cs="宋体"/>
                <w:color w:val="000000"/>
                <w:kern w:val="0"/>
                <w:szCs w:val="21"/>
              </w:rPr>
            </w:pPr>
            <w:r>
              <w:rPr>
                <w:rFonts w:hint="eastAsia" w:ascii="宋体" w:hAnsi="宋体" w:cs="宋体"/>
                <w:color w:val="000000"/>
                <w:kern w:val="0"/>
                <w:szCs w:val="21"/>
              </w:rPr>
              <w:t xml:space="preserve">  2010201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360.09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360.09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321.05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2010204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hint="eastAsia" w:ascii="宋体" w:cs="宋体"/>
                <w:color w:val="000000"/>
                <w:szCs w:val="21"/>
              </w:rPr>
              <w:t>政协会议</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11.86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Calibri" w:eastAsia="宋体" w:cs="宋体"/>
                <w:color w:val="000000"/>
                <w:kern w:val="2"/>
                <w:sz w:val="21"/>
                <w:szCs w:val="21"/>
                <w:u w:val="none"/>
                <w:lang w:val="en-US" w:eastAsia="zh-CN" w:bidi="ar-SA"/>
              </w:rPr>
            </w:pPr>
            <w:r>
              <w:rPr>
                <w:rFonts w:hint="eastAsia" w:ascii="宋体" w:cs="宋体"/>
                <w:color w:val="000000"/>
                <w:szCs w:val="21"/>
                <w:u w:val="none"/>
              </w:rPr>
              <w:t>11.86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2010205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hint="eastAsia" w:ascii="宋体" w:cs="宋体"/>
                <w:color w:val="000000"/>
                <w:szCs w:val="21"/>
              </w:rPr>
              <w:t>委员视察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16.37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Calibri" w:eastAsia="宋体" w:cs="宋体"/>
                <w:color w:val="000000"/>
                <w:kern w:val="2"/>
                <w:sz w:val="21"/>
                <w:szCs w:val="21"/>
                <w:u w:val="none"/>
                <w:lang w:val="en-US" w:eastAsia="zh-CN" w:bidi="ar-SA"/>
              </w:rPr>
            </w:pPr>
            <w:r>
              <w:rPr>
                <w:rFonts w:hint="eastAsia" w:ascii="宋体" w:cs="宋体"/>
                <w:color w:val="000000"/>
                <w:szCs w:val="21"/>
                <w:u w:val="none"/>
              </w:rPr>
              <w:t>16.37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2010299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hint="eastAsia" w:ascii="宋体" w:cs="宋体"/>
                <w:color w:val="000000"/>
                <w:szCs w:val="21"/>
              </w:rPr>
              <w:t>其他政协事务支出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10.64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r>
              <w:rPr>
                <w:rFonts w:hint="eastAsia" w:ascii="宋体" w:cs="宋体"/>
                <w:color w:val="000000"/>
                <w:szCs w:val="21"/>
              </w:rPr>
              <w:t>5.54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5.54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singl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Calibri" w:eastAsia="宋体" w:cs="宋体"/>
                <w:color w:val="000000"/>
                <w:kern w:val="2"/>
                <w:sz w:val="21"/>
                <w:szCs w:val="21"/>
                <w:u w:val="none"/>
                <w:lang w:val="en-US" w:eastAsia="zh-CN" w:bidi="ar-SA"/>
              </w:rPr>
            </w:pPr>
            <w:r>
              <w:rPr>
                <w:rFonts w:hint="eastAsia" w:ascii="宋体" w:cs="宋体"/>
                <w:color w:val="000000"/>
                <w:szCs w:val="21"/>
                <w:u w:val="none"/>
              </w:rPr>
              <w:t>5.1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bookmarkStart w:id="0" w:name="_GoBack"/>
            <w:bookmarkEnd w:id="0"/>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rPr>
          <w:rFonts w:asci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hint="eastAsia" w:ascii="宋体" w:cs="宋体"/>
                <w:bCs/>
                <w:color w:val="000000"/>
                <w:szCs w:val="21"/>
              </w:rPr>
              <w:t>365.62</w:t>
            </w:r>
          </w:p>
        </w:tc>
        <w:tc>
          <w:tcPr>
            <w:tcW w:w="1437"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hint="eastAsia" w:ascii="宋体" w:cs="宋体"/>
                <w:bCs/>
                <w:color w:val="000000"/>
                <w:szCs w:val="21"/>
              </w:rPr>
              <w:t>326.59</w:t>
            </w:r>
          </w:p>
        </w:tc>
        <w:tc>
          <w:tcPr>
            <w:tcW w:w="1363"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hint="eastAsia" w:ascii="宋体" w:cs="宋体"/>
                <w:bCs/>
                <w:color w:val="000000"/>
                <w:szCs w:val="21"/>
              </w:rPr>
              <w:t>39.03</w:t>
            </w:r>
          </w:p>
        </w:tc>
        <w:tc>
          <w:tcPr>
            <w:tcW w:w="115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b/>
                <w:bCs/>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b/>
                <w:bCs/>
                <w:color w:val="000000"/>
                <w:kern w:val="0"/>
                <w:szCs w:val="21"/>
              </w:rPr>
              <w:t>工资福利支出</w:t>
            </w:r>
            <w:r>
              <w:rPr>
                <w:rFonts w:ascii="宋体" w:hAnsi="宋体" w:cs="宋体"/>
                <w:color w:val="000000"/>
                <w:kern w:val="0"/>
                <w:szCs w:val="21"/>
              </w:rPr>
              <w:t xml:space="preserve">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324.95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324.95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114.13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114.13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92.15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92.15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44.87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44.87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5.54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5.54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33.69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33.69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b/>
                <w:bCs/>
                <w:color w:val="000000"/>
                <w:kern w:val="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b/>
                <w:bCs/>
                <w:color w:val="000000"/>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1.64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1.64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30311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34.57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34.57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b/>
                <w:bCs/>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b/>
                <w:bCs/>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39.03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4.38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1.86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cs="宋体"/>
                <w:color w:val="000000"/>
                <w:szCs w:val="21"/>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9.67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2.42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11.99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30288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5.2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rPr>
              <w:t>0.45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10.63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3.09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7.54</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7.54</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16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3.5</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8.98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3.01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5.97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5.97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11.87</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hint="eastAsia" w:ascii="宋体" w:cs="宋体"/>
                <w:bCs/>
                <w:color w:val="000000"/>
                <w:szCs w:val="21"/>
              </w:rPr>
              <w:t>1.16</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kern w:val="10"/>
          <w:szCs w:val="21"/>
        </w:rPr>
        <w:t>中国人民政治协商会议咸阳市杨陵区委员会办公室</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pStyle w:val="6"/>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1.中国人民政治协商会议咸阳市杨陵区委员会办公室2019年总收入为400.28万元,较上年309.93万元增加29.15%，主要原因是人员增加，工资福利支出增加。</w:t>
      </w:r>
    </w:p>
    <w:p>
      <w:pPr>
        <w:pStyle w:val="6"/>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2.中国人民政治协商会议咸阳市杨陵区委员会办公室2019年总支出400.28万元，较上年312.62万元增加28.04%，主要原因是人员增加工资福利支出增加。</w:t>
      </w:r>
    </w:p>
    <w:p>
      <w:pPr>
        <w:widowControl/>
        <w:ind w:firstLine="640" w:firstLineChars="200"/>
        <w:jc w:val="left"/>
        <w:rPr>
          <w:rFonts w:ascii="仿宋_GB2312" w:hAnsi="仿宋_GB2312" w:eastAsia="仿宋_GB2312" w:cs="仿宋_GB2312"/>
          <w:color w:val="2B2B2B"/>
          <w:sz w:val="32"/>
          <w:szCs w:val="32"/>
        </w:rPr>
      </w:pPr>
      <w:r>
        <w:rPr>
          <w:rFonts w:ascii="仿宋_GB2312" w:hAnsi="仿宋_GB2312" w:eastAsia="仿宋_GB2312" w:cs="仿宋_GB2312"/>
          <w:color w:val="2B2B2B"/>
          <w:sz w:val="32"/>
          <w:szCs w:val="32"/>
        </w:rPr>
        <w:pict>
          <v:shape id="_x0000_s1028" o:spid="_x0000_s1028" o:spt="75" type="#_x0000_t75" style="position:absolute;left:0pt;margin-left:32pt;margin-top:20.15pt;height:222.75pt;width:366.75pt;mso-wrap-distance-bottom:0pt;mso-wrap-distance-left:9pt;mso-wrap-distance-right:9pt;mso-wrap-distance-top:0pt;z-index:1024;mso-width-relative:page;mso-height-relative:page;" o:ole="t" filled="f" o:preferrelative="t" stroked="f" coordsize="21600,21600">
            <v:path/>
            <v:fill on="f" focussize="0,0"/>
            <v:stroke on="f" joinstyle="miter"/>
            <v:imagedata r:id="rId12" o:title=""/>
            <o:lock v:ext="edit" aspectratio="t"/>
            <w10:wrap type="square"/>
          </v:shape>
          <o:OLEObject Type="Embed" ProgID="Excel.Chart.8" ShapeID="_x0000_s1028" DrawAspect="Content" ObjectID="_1468075725" r:id="rId11">
            <o:LockedField>false</o:LockedField>
          </o:OLEObject>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年收入合计400.05万元，其中：财政拨款收入399万元，占99.74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；其他收入1.05万元，占0.26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，其他收入主要来源于省政协划拨住区委员活动经费、区委组织部划拨活动经费等。</w:t>
      </w:r>
    </w:p>
    <w:p>
      <w:pPr>
        <w:widowControl/>
        <w:ind w:firstLine="640" w:firstLineChars="200"/>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object>
          <v:shape id="_x0000_i1025" o:spt="75" type="#_x0000_t75" style="height:238.5pt;width:394.5pt;" o:ole="t" filled="f" o:preferrelative="t" stroked="f" coordsize="21600,21600">
            <v:path/>
            <v:fill on="f" focussize="0,0"/>
            <v:stroke on="f" joinstyle="miter"/>
            <v:imagedata r:id="rId14" o:title=""/>
            <o:lock v:ext="edit" aspectratio="t"/>
            <w10:wrap type="none"/>
            <w10:anchorlock/>
          </v:shape>
          <o:OLEObject Type="Embed" ProgID="Excel.Chart.8" ShapeID="_x0000_i1025" DrawAspect="Content" ObjectID="_1468075726" r:id="rId13">
            <o:LockedField>false</o:LockedField>
          </o:OLEObject>
        </w:objec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年支出合计400万元，其中：基本支出365.62万元，占91.4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；项目支出34.38万元，占8.6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object>
          <v:shape id="_x0000_i1026" o:spt="75" type="#_x0000_t75" style="height:205.5pt;width:348.75pt;" o:ole="t" filled="f" o:preferrelative="t" stroked="f" coordsize="21600,21600">
            <v:path/>
            <v:fill on="f" focussize="0,0"/>
            <v:stroke on="f" joinstyle="miter"/>
            <v:imagedata r:id="rId16" o:title=""/>
            <o:lock v:ext="edit" aspectratio="t"/>
            <w10:wrap type="none"/>
            <w10:anchorlock/>
          </v:shape>
          <o:OLEObject Type="Embed" ProgID="Excel.Chart.8" ShapeID="_x0000_i1026" DrawAspect="Content" ObjectID="_1468075727" r:id="rId15">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pStyle w:val="6"/>
        <w:shd w:val="clear" w:color="auto" w:fill="FFFFFF"/>
        <w:spacing w:before="0" w:beforeAutospacing="0" w:after="0" w:afterAutospacing="0" w:line="560" w:lineRule="exact"/>
        <w:ind w:firstLine="640" w:firstLineChars="200"/>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中国人民政治协商会议咸阳市杨陵区委员会办公室2019年财政拨款收入399万元,较上年306.34万元增加30.25% 万元，主要原因是人员增加工资福利支出增加。</w:t>
      </w:r>
    </w:p>
    <w:p>
      <w:pPr>
        <w:pStyle w:val="6"/>
        <w:shd w:val="clear" w:color="auto" w:fill="FFFFFF"/>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2B2B2B"/>
          <w:sz w:val="32"/>
          <w:szCs w:val="32"/>
        </w:rPr>
        <w:t>中国人民政治协商会议咸阳市杨陵区委员会办公室2019年财政拨款支出398.95万元，较上年274.31万元增加45.44%，主要原因是人员增加工资福利支出增加</w:t>
      </w:r>
      <w:r>
        <w:rPr>
          <w:rFonts w:hint="eastAsia" w:ascii="仿宋_GB2312" w:hAnsi="仿宋" w:eastAsia="仿宋_GB2312"/>
          <w:sz w:val="32"/>
          <w:szCs w:val="32"/>
        </w:rPr>
        <w:t>。</w:t>
      </w:r>
    </w:p>
    <w:p>
      <w:pPr>
        <w:pStyle w:val="6"/>
        <w:shd w:val="clear" w:color="auto" w:fill="FFFFFF"/>
        <w:spacing w:before="0" w:beforeAutospacing="0" w:after="0" w:afterAutospacing="0" w:line="560" w:lineRule="exact"/>
        <w:ind w:firstLine="640" w:firstLineChars="200"/>
        <w:rPr>
          <w:rFonts w:ascii="仿宋_GB2312" w:hAnsi="仿宋" w:eastAsia="仿宋_GB2312"/>
          <w:sz w:val="32"/>
          <w:szCs w:val="32"/>
        </w:rPr>
      </w:pPr>
      <w:r>
        <w:rPr>
          <w:rFonts w:ascii="仿宋_GB2312" w:hAnsi="仿宋" w:eastAsia="仿宋_GB2312"/>
          <w:sz w:val="32"/>
          <w:szCs w:val="32"/>
        </w:rPr>
        <w:pict>
          <v:shape id="_x0000_s1029" o:spid="_x0000_s1029" o:spt="75" type="#_x0000_t75" style="position:absolute;left:0pt;margin-left:32pt;margin-top:14.65pt;height:222.75pt;width:366.75pt;mso-wrap-distance-bottom:0pt;mso-wrap-distance-left:9pt;mso-wrap-distance-right:9pt;mso-wrap-distance-top:0pt;z-index:1024;mso-width-relative:page;mso-height-relative:page;" o:ole="t" filled="f" o:preferrelative="t" stroked="f" coordsize="21600,21600">
            <v:path/>
            <v:fill on="f" focussize="0,0"/>
            <v:stroke on="f" joinstyle="miter"/>
            <v:imagedata r:id="rId18" o:title=""/>
            <o:lock v:ext="edit" aspectratio="t"/>
            <w10:wrap type="square"/>
          </v:shape>
          <o:OLEObject Type="Embed" ProgID="Excel.Chart.8" ShapeID="_x0000_s1029" DrawAspect="Content" ObjectID="_1468075728" r:id="rId17">
            <o:LockedField>false</o:LockedField>
          </o:OLEObject>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年财政拨款支出398.95万元，占本年支出合计的99.67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。与上年相比，财政拨款支出增加89.91万元，增长（减少）29.09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，主要原因是人员增加工资福利支出和公用经费支出增加。</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object>
          <v:shape id="_x0000_i1027" o:spt="75" type="#_x0000_t75" style="height:222.75pt;width:360pt;" o:ole="t" filled="f" o:preferrelative="t" stroked="f" coordsize="21600,21600">
            <v:path/>
            <v:fill on="f" focussize="0,0"/>
            <v:stroke on="f" joinstyle="miter"/>
            <v:imagedata r:id="rId20" o:title=""/>
            <o:lock v:ext="edit" aspectratio="t"/>
            <w10:wrap type="none"/>
            <w10:anchorlock/>
          </v:shape>
          <o:OLEObject Type="Embed" ProgID="Excel.Chart.8" ShapeID="_x0000_i1027" DrawAspect="Content" ObjectID="_1468075729" r:id="rId19">
            <o:LockedField>false</o:LockedField>
          </o:OLEObject>
        </w:objec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年财政拨款支出年初预算为360.23万元，支出决算为399.23万元，完成年初预算的110.83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1.一般公共服务支出。</w:t>
      </w:r>
      <w:r>
        <w:rPr>
          <w:rFonts w:hint="eastAsia" w:ascii="仿宋_GB2312" w:hAnsi="宋体" w:eastAsia="仿宋_GB2312" w:cs="仿宋_GB2312"/>
          <w:color w:val="000000"/>
          <w:kern w:val="0"/>
          <w:sz w:val="32"/>
          <w:szCs w:val="32"/>
        </w:rPr>
        <w:t>年初预算为360.23万元，支出决算为398.95万元，完成年初预算的110.75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。决算数大于或小于预算数的主要原因是人员增加工资福利支出和公用经费支出增加。</w:t>
      </w:r>
    </w:p>
    <w:p>
      <w:pPr>
        <w:widowControl/>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2.政协事务</w:t>
      </w:r>
      <w:r>
        <w:rPr>
          <w:rFonts w:hint="eastAsia" w:ascii="仿宋_GB2312" w:hAnsi="宋体" w:eastAsia="仿宋_GB2312" w:cs="仿宋_GB2312"/>
          <w:color w:val="000000"/>
          <w:kern w:val="0"/>
          <w:sz w:val="32"/>
          <w:szCs w:val="32"/>
        </w:rPr>
        <w:t>。年初预算为360.23万元，支出决算为398.95万元，完成年初预算的110.75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。决算数大于预算数的主要原因是人员增加工资福利支出和公用经费支出增加。</w:t>
      </w:r>
    </w:p>
    <w:p>
      <w:pPr>
        <w:widowControl/>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3.行政运行。</w:t>
      </w:r>
      <w:r>
        <w:rPr>
          <w:rFonts w:hint="eastAsia" w:ascii="仿宋_GB2312" w:hAnsi="宋体" w:eastAsia="仿宋_GB2312" w:cs="仿宋_GB2312"/>
          <w:color w:val="000000"/>
          <w:kern w:val="0"/>
          <w:sz w:val="32"/>
          <w:szCs w:val="32"/>
        </w:rPr>
        <w:t>年初预算为307.23万元，支出决算为360.09万元，完成年初预算的117.21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。决算数大于预算数的主要原因是人员增加工资福利支出和公用经费支出增加。</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4.政协会议。</w:t>
      </w:r>
      <w:r>
        <w:rPr>
          <w:rFonts w:hint="eastAsia" w:ascii="仿宋_GB2312" w:hAnsi="宋体" w:eastAsia="仿宋_GB2312" w:cs="仿宋_GB2312"/>
          <w:color w:val="000000"/>
          <w:kern w:val="0"/>
          <w:sz w:val="32"/>
          <w:szCs w:val="32"/>
        </w:rPr>
        <w:t>年初预算为16万元，支出决算为11.86万元，完成年初预算的74.13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。决算数小于预算数的主要原因是精文减会压缩了会议费支出。</w:t>
      </w:r>
    </w:p>
    <w:p>
      <w:pPr>
        <w:widowControl/>
        <w:ind w:firstLine="643" w:firstLineChars="200"/>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5.委员视察。</w:t>
      </w:r>
      <w:r>
        <w:rPr>
          <w:rFonts w:hint="eastAsia" w:ascii="仿宋_GB2312" w:hAnsi="宋体" w:eastAsia="仿宋_GB2312" w:cs="仿宋_GB2312"/>
          <w:color w:val="000000"/>
          <w:kern w:val="0"/>
          <w:sz w:val="32"/>
          <w:szCs w:val="32"/>
        </w:rPr>
        <w:t>年初预算为21万元，支出决算为16.37万元，完成年初预算的78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。决算数小于预算数的主要原因精文减会压缩委员活动经费。</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6.其他政协事务支出。</w:t>
      </w:r>
      <w:r>
        <w:rPr>
          <w:rFonts w:hint="eastAsia" w:ascii="仿宋_GB2312" w:hAnsi="宋体" w:eastAsia="仿宋_GB2312" w:cs="仿宋_GB2312"/>
          <w:color w:val="000000"/>
          <w:kern w:val="0"/>
          <w:sz w:val="32"/>
          <w:szCs w:val="32"/>
        </w:rPr>
        <w:t>年初预算为16万元，支出决算为10.64万元，完成年初预算的66.5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。决算数小于预算数的主要原因是压缩办公设备购置支出。</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年一般公共预算财政拨款基本支出365.62万元，包括：人员经费支出326.59万元和公用经费支出39.03万元。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u w:val="single"/>
        </w:rPr>
        <w:t>398.95万元</w:t>
      </w:r>
      <w:r>
        <w:rPr>
          <w:rFonts w:hint="eastAsia" w:ascii="仿宋_GB2312" w:hAnsi="宋体" w:eastAsia="仿宋_GB2312" w:cs="仿宋_GB2312"/>
          <w:color w:val="000000"/>
          <w:kern w:val="0"/>
          <w:sz w:val="32"/>
          <w:szCs w:val="32"/>
        </w:rPr>
        <w:t>，主要包括基本工资114.13万元，津贴补贴92.15万元，奖金44.87万元，伙食补助费5.54万元，机关事业单位基本养老保险缴费33.69万元，住房公积金34.57万元，生活补助1.62万元，奖励金0.02万元。</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39.03万元，主要包括办公费4.38万元，印刷费1.86万元，水费0.25万元，电费1.22万元，邮电费9.67万元，差旅费0.31万元，公务接待费1.29万元，工会经费5.2万元，公务用车运行维护费2.42万元，其他交通费用11.99万元，其他商品和服务支出0.45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年“三公”经费财政拨款支出预算为10.63万元，支出决算为8.98万元，完成预算的84.48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。决算数较预算数减少1.65万元，主要原因是公务用车维护费及公务接待费支出减少。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年“三公”经费财政拨款支出决算中，因公出国（境）费支出决算0万元；公务用车购置费支出0万元；公务用车运行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费支出决算5.97万元，占66.48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；公务接待费支出决算3.01万元，占33.52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rPr>
        <w:t>0个，0人次，</w:t>
      </w:r>
      <w:r>
        <w:rPr>
          <w:rFonts w:hint="eastAsia" w:ascii="仿宋_GB2312" w:hAnsi="宋体" w:eastAsia="仿宋_GB2312" w:cs="仿宋_GB2312"/>
          <w:color w:val="000000"/>
          <w:kern w:val="0"/>
          <w:sz w:val="32"/>
          <w:szCs w:val="32"/>
        </w:rPr>
        <w:t>预算为0万元，支出决算为0万元。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rPr>
        <w:t>0台，</w:t>
      </w:r>
      <w:r>
        <w:rPr>
          <w:rFonts w:hint="eastAsia" w:ascii="仿宋_GB2312" w:hAnsi="宋体" w:eastAsia="仿宋_GB2312" w:cs="仿宋_GB2312"/>
          <w:color w:val="000000"/>
          <w:kern w:val="0"/>
          <w:sz w:val="32"/>
          <w:szCs w:val="32"/>
        </w:rPr>
        <w:t>预算为0万元，支出决算为0万元。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预算为7.5万元，支出决算为5.97万元，完成预算的79.6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，决算数较预算数减少1.53万元，主要原因是压缩公务用车运行维护费开支。</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rPr>
        <w:t>36批次，583人次，</w:t>
      </w:r>
      <w:r>
        <w:rPr>
          <w:rFonts w:hint="eastAsia" w:ascii="仿宋_GB2312" w:hAnsi="宋体" w:eastAsia="仿宋_GB2312" w:cs="仿宋_GB2312"/>
          <w:color w:val="000000"/>
          <w:kern w:val="0"/>
          <w:sz w:val="32"/>
          <w:szCs w:val="32"/>
        </w:rPr>
        <w:t>预算为3.09万元，支出决算为3.01万元，完成预算的97.41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，决算数较预算数减少0.08万元，主要原因是公务接待人次、批次减少，支出相应减少。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预算为3.5万元，支出决算为1.16万元，完成预算的33.14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，决算数较预算数减少2.34万元，主要原因是培训批次、人次减少，支出相应减少。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预算为16万元，支出决算为11.86万元，完成预算的74.13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，决算数较预算数减少4.14万元，主要原因是精文减会压缩会议费支出。</w:t>
      </w:r>
    </w:p>
    <w:p>
      <w:pPr>
        <w:widowControl/>
        <w:ind w:firstLine="640" w:firstLineChars="200"/>
        <w:jc w:val="left"/>
        <w:rPr>
          <w:rFonts w:ascii="仿宋_GB2312" w:hAnsi="宋体" w:eastAsia="仿宋_GB2312" w:cs="仿宋_GB2312"/>
          <w:color w:val="000000"/>
          <w:kern w:val="0"/>
          <w:sz w:val="32"/>
          <w:szCs w:val="32"/>
        </w:rPr>
      </w:pP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object>
          <v:shape id="_x0000_i1028" o:spt="75" type="#_x0000_t75" style="height:222.75pt;width:378.75pt;" o:ole="t" filled="f" o:preferrelative="t" stroked="f" coordsize="21600,21600">
            <v:path/>
            <v:fill on="f" focussize="0,0"/>
            <v:stroke on="f" joinstyle="miter"/>
            <v:imagedata r:id="rId22" o:title=""/>
            <o:lock v:ext="edit" aspectratio="t"/>
            <w10:wrap type="none"/>
            <w10:anchorlock/>
          </v:shape>
          <o:OLEObject Type="Embed" ProgID="Excel.Chart.8" ShapeID="_x0000_i1028" DrawAspect="Content" ObjectID="_1468075730" r:id="rId21">
            <o:LockedField>false</o:LockedField>
          </o:OLEObject>
        </w:objec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年一般公共预算项目支出全面开展绩效自评，其中，一级项目3个，共涉及资金53万元，占一般公共预算项目支出总额的100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委员视察项目绩效自评综述：根据年初设定的绩效目标，项目自评得分98分。项目全年预算数21万元，执行数16.37万元，完成预算的77.95</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主要产出和效果：通过项目实施有效提升了发挥委员参与调研、协商、监督的参与率，为区委、区政府决策提供委员意见，提升委员凝聚力。发现的问题及原因：委员活动丰富性有待提升。下一步改进措施：丰富委员活动形式，提升委员参与政治活动的积极性。</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政协会议项目绩效自评综述：根据年初设定的绩效目标，项目自评得分99分。项目全年预算数16万元，执行数11.86万元，完成预算的74.13%。主要产出和效果：通过政协会议的组织实施有效发挥各界别、党派发挥职能，对涉及全区经济、政治、文化、社会、生态文明等问题开展协商监督，推动全区经济社会全面进步。发现问题及原因：办会水平的创新性有待提高。下一步改进措施：充分运用新媒体、新技术提升办会质量。</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其他政协事务项目绩效自评综述：根据年初设定的绩效目标，项目自评得分98分。项目全年预算数16万元，</w:t>
      </w:r>
      <w:r>
        <w:rPr>
          <w:rFonts w:hint="eastAsia" w:ascii="仿宋_GB2312" w:hAnsi="仿宋_GB2312" w:eastAsia="仿宋_GB2312" w:cs="仿宋_GB2312"/>
          <w:color w:val="000000"/>
          <w:kern w:val="0"/>
          <w:sz w:val="31"/>
          <w:szCs w:val="31"/>
          <w:u w:val="none"/>
        </w:rPr>
        <w:t>执行数11.69万元，完成预算的73.06%</w:t>
      </w:r>
      <w:r>
        <w:rPr>
          <w:rFonts w:hint="eastAsia" w:ascii="仿宋_GB2312" w:hAnsi="仿宋_GB2312" w:eastAsia="仿宋_GB2312" w:cs="仿宋_GB2312"/>
          <w:color w:val="000000"/>
          <w:kern w:val="0"/>
          <w:sz w:val="31"/>
          <w:szCs w:val="31"/>
        </w:rPr>
        <w:t>，主要产出和效果：通过项目实施有效提升了政协存史资政效果，保障机关平稳顺畅运行。发现的问题及原因：文史资料编纂水平进度有待提高，办公室设备较为陈旧。下一步改进措施：提升文史资料经费保障使用率，提升文史资料编纂水平，对陈旧设备及时更新，提升机关服务水平。</w:t>
      </w:r>
    </w:p>
    <w:p>
      <w:pPr>
        <w:widowControl/>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9" o:spt="75" type="#_x0000_t75" style="height:565.5pt;width:462.75pt;" o:ole="t" filled="f" o:preferrelative="t" stroked="f" coordsize="21600,21600">
            <v:path/>
            <v:fill on="f" focussize="0,0"/>
            <v:stroke on="f" joinstyle="miter"/>
            <v:imagedata r:id="rId23" o:title=""/>
            <o:lock v:ext="edit" aspectratio="t"/>
            <w10:wrap type="none"/>
            <w10:anchorlock/>
          </v:shape>
          <o:OLEObject Type="Embed" ProgID="Office12.wks.Sheet.8" ShapeID="_x0000_i1029" DrawAspect="Content" ObjectID="_1468075731">
            <o:LockedField>false</o:LockedField>
          </o:OLEObject>
        </w:object>
      </w:r>
      <w:r>
        <w:rPr>
          <w:rFonts w:hint="eastAsia" w:ascii="楷体" w:hAnsi="楷体" w:eastAsia="楷体" w:cs="楷体"/>
          <w:sz w:val="32"/>
          <w:szCs w:val="32"/>
        </w:rPr>
        <w:object>
          <v:shape id="_x0000_i1030" o:spt="75" type="#_x0000_t75" style="height:610.5pt;width:462.75pt;" o:ole="t" filled="f" o:preferrelative="t" stroked="f" coordsize="21600,21600">
            <v:path/>
            <v:fill on="f" focussize="0,0"/>
            <v:stroke on="f" joinstyle="miter"/>
            <v:imagedata r:id="rId24" o:title=""/>
            <o:lock v:ext="edit" aspectratio="t"/>
            <w10:wrap type="none"/>
            <w10:anchorlock/>
          </v:shape>
          <o:OLEObject Type="Embed" ProgID="Office12.wks.Sheet.8" ShapeID="_x0000_i1030" DrawAspect="Content" ObjectID="_1468075732">
            <o:LockedField>false</o:LockedField>
          </o:OLEObject>
        </w:object>
      </w:r>
      <w:r>
        <w:rPr>
          <w:rFonts w:hint="eastAsia" w:ascii="楷体" w:hAnsi="楷体" w:eastAsia="楷体" w:cs="楷体"/>
          <w:sz w:val="32"/>
          <w:szCs w:val="32"/>
        </w:rPr>
        <w:object>
          <v:shape id="_x0000_i1031" o:spt="75" type="#_x0000_t75" style="height:585.75pt;width:462.75pt;" o:ole="t" filled="f" o:preferrelative="t" stroked="f" coordsize="21600,21600">
            <v:path/>
            <v:fill on="f" focussize="0,0"/>
            <v:stroke on="f" joinstyle="miter"/>
            <v:imagedata r:id="rId25" o:title=""/>
            <o:lock v:ext="edit" aspectratio="t"/>
            <w10:wrap type="none"/>
            <w10:anchorlock/>
          </v:shape>
          <o:OLEObject Type="Embed" ProgID="Office12.wks.Sheet.8" ShapeID="_x0000_i1031" DrawAspect="Content" ObjectID="_1468075733">
            <o:LockedField>false</o:LockedField>
          </o:OLEObject>
        </w:object>
      </w:r>
    </w:p>
    <w:p>
      <w:pPr>
        <w:widowControl/>
        <w:jc w:val="left"/>
        <w:rPr>
          <w:rFonts w:ascii="楷体" w:hAnsi="楷体" w:eastAsia="楷体" w:cs="楷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32" o:spt="75" type="#_x0000_t75" style="height:1401pt;width:631.5pt;" o:ole="t" filled="f" o:preferrelative="t" stroked="f" coordsize="21600,21600">
            <v:path/>
            <v:fill on="f" focussize="0,0"/>
            <v:stroke on="f" joinstyle="miter"/>
            <v:imagedata r:id="rId26" o:title=""/>
            <o:lock v:ext="edit" aspectratio="t"/>
            <w10:wrap type="none"/>
            <w10:anchorlock/>
          </v:shape>
          <o:OLEObject Type="Embed" ProgID="Office12.wks.Sheet.8" ShapeID="_x0000_i1032" DrawAspect="Content" ObjectID="_1468075734">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3" o:spt="75" type="#_x0000_t75" style="height:387pt;width:648pt;" o:ole="t" filled="f" o:preferrelative="t" stroked="f" coordsize="21600,21600">
            <v:path/>
            <v:fill on="f" focussize="0,0"/>
            <v:stroke on="f" joinstyle="miter"/>
            <v:imagedata r:id="rId27" o:title=""/>
            <o:lock v:ext="edit" aspectratio="t"/>
            <w10:wrap type="none"/>
            <w10:anchorlock/>
          </v:shape>
          <o:OLEObject Type="Embed" ProgID="Office12.wks.Sheet.8" ShapeID="_x0000_i1033" DrawAspect="Content" ObjectID="_146807573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4" o:spt="75" type="#_x0000_t75" style="height:339pt;width:644.25pt;" o:ole="t" filled="f" o:preferrelative="t" stroked="f" coordsize="21600,21600">
            <v:path/>
            <v:fill on="f" focussize="0,0"/>
            <v:stroke on="f" joinstyle="miter"/>
            <v:imagedata r:id="rId28" o:title=""/>
            <o:lock v:ext="edit" aspectratio="t"/>
            <w10:wrap type="none"/>
            <w10:anchorlock/>
          </v:shape>
          <o:OLEObject Type="Embed" ProgID="Office12.wks.Sheet.8" ShapeID="_x0000_i1034" DrawAspect="Content" ObjectID="_1468075736">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预算为22.4万元，支出决算为39.03万元，完成预算的174.24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。决算数较预算数增加16.63万元，主要原因是公用经费支出增加。</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年本部门政府采购支出总额共5.012万元，其中政府采购服务类支出5.012万元</w:t>
      </w:r>
      <w:r>
        <w:rPr>
          <w:rFonts w:hint="eastAsia" w:ascii="仿宋_GB2312" w:hAnsi="宋体" w:eastAsia="仿宋_GB2312" w:cs="仿宋_GB2312"/>
          <w:color w:val="000000"/>
          <w:kern w:val="0"/>
          <w:sz w:val="32"/>
          <w:szCs w:val="32"/>
        </w:rPr>
        <w:t>，占政府采购支出总额的100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，其中：授予小微企业合同金额0万元，占政府采购支出总额的0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年末，本部门机关及所属单位共有车辆1辆；单价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年当年购置车辆0辆；购置单价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5596"/>
    <w:multiLevelType w:val="singleLevel"/>
    <w:tmpl w:val="03F555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50E89"/>
    <w:rsid w:val="000C14EF"/>
    <w:rsid w:val="00146787"/>
    <w:rsid w:val="00164001"/>
    <w:rsid w:val="001D7568"/>
    <w:rsid w:val="002424C8"/>
    <w:rsid w:val="002A7893"/>
    <w:rsid w:val="003364E9"/>
    <w:rsid w:val="003D65F5"/>
    <w:rsid w:val="00452E2E"/>
    <w:rsid w:val="004B6D6E"/>
    <w:rsid w:val="0059256B"/>
    <w:rsid w:val="00614BB8"/>
    <w:rsid w:val="00813F4A"/>
    <w:rsid w:val="009B0EA0"/>
    <w:rsid w:val="00AE3130"/>
    <w:rsid w:val="00B7067D"/>
    <w:rsid w:val="00B80654"/>
    <w:rsid w:val="00E4076F"/>
    <w:rsid w:val="00E8111E"/>
    <w:rsid w:val="00EF2F24"/>
    <w:rsid w:val="013264A1"/>
    <w:rsid w:val="013B79AC"/>
    <w:rsid w:val="01801869"/>
    <w:rsid w:val="058A6E5A"/>
    <w:rsid w:val="05FB3862"/>
    <w:rsid w:val="080B23E4"/>
    <w:rsid w:val="086B70B5"/>
    <w:rsid w:val="0A020374"/>
    <w:rsid w:val="0ABD4497"/>
    <w:rsid w:val="0AEC2FD9"/>
    <w:rsid w:val="0D451514"/>
    <w:rsid w:val="0E565B8C"/>
    <w:rsid w:val="104E658A"/>
    <w:rsid w:val="10E673A8"/>
    <w:rsid w:val="11E649EF"/>
    <w:rsid w:val="125E2600"/>
    <w:rsid w:val="132E46A0"/>
    <w:rsid w:val="13DD369A"/>
    <w:rsid w:val="13E444A1"/>
    <w:rsid w:val="14411117"/>
    <w:rsid w:val="1586116E"/>
    <w:rsid w:val="16516E60"/>
    <w:rsid w:val="1691036A"/>
    <w:rsid w:val="16B93138"/>
    <w:rsid w:val="18BB4AD7"/>
    <w:rsid w:val="19343ECB"/>
    <w:rsid w:val="1AE767BD"/>
    <w:rsid w:val="1B4A3FDA"/>
    <w:rsid w:val="1B524C98"/>
    <w:rsid w:val="1BC420B6"/>
    <w:rsid w:val="1C5E2F73"/>
    <w:rsid w:val="1C6E2D73"/>
    <w:rsid w:val="1CBD4D9F"/>
    <w:rsid w:val="1D6E0C0D"/>
    <w:rsid w:val="1E442C0A"/>
    <w:rsid w:val="1E863350"/>
    <w:rsid w:val="1ED934D0"/>
    <w:rsid w:val="1FBF41F4"/>
    <w:rsid w:val="221C15BB"/>
    <w:rsid w:val="224F526E"/>
    <w:rsid w:val="228639B0"/>
    <w:rsid w:val="24663E1C"/>
    <w:rsid w:val="26A75A56"/>
    <w:rsid w:val="280A74DD"/>
    <w:rsid w:val="29785A6B"/>
    <w:rsid w:val="2A981D8E"/>
    <w:rsid w:val="2B920754"/>
    <w:rsid w:val="2C827A55"/>
    <w:rsid w:val="2D1F3974"/>
    <w:rsid w:val="2DB52EF2"/>
    <w:rsid w:val="2EB16191"/>
    <w:rsid w:val="2F187B18"/>
    <w:rsid w:val="30FA65BE"/>
    <w:rsid w:val="31AA6038"/>
    <w:rsid w:val="33887EE3"/>
    <w:rsid w:val="34594C51"/>
    <w:rsid w:val="34677C61"/>
    <w:rsid w:val="350A094A"/>
    <w:rsid w:val="369339A3"/>
    <w:rsid w:val="36D9200D"/>
    <w:rsid w:val="385A01D5"/>
    <w:rsid w:val="38791AB5"/>
    <w:rsid w:val="3B121AD1"/>
    <w:rsid w:val="3C6D290F"/>
    <w:rsid w:val="3CF44702"/>
    <w:rsid w:val="3CFD0D2E"/>
    <w:rsid w:val="3E7C0AD2"/>
    <w:rsid w:val="3EE07DDC"/>
    <w:rsid w:val="3F1929C2"/>
    <w:rsid w:val="3F85207A"/>
    <w:rsid w:val="40996991"/>
    <w:rsid w:val="41603979"/>
    <w:rsid w:val="418E3863"/>
    <w:rsid w:val="41CF436B"/>
    <w:rsid w:val="41D5728B"/>
    <w:rsid w:val="423557FF"/>
    <w:rsid w:val="423C773D"/>
    <w:rsid w:val="42595D2C"/>
    <w:rsid w:val="42AA50B8"/>
    <w:rsid w:val="42EA433A"/>
    <w:rsid w:val="45024544"/>
    <w:rsid w:val="4619368A"/>
    <w:rsid w:val="471F2499"/>
    <w:rsid w:val="479208E3"/>
    <w:rsid w:val="481C3FF4"/>
    <w:rsid w:val="4974299B"/>
    <w:rsid w:val="4A0F30CF"/>
    <w:rsid w:val="4A1B78F1"/>
    <w:rsid w:val="4BF35FD0"/>
    <w:rsid w:val="4C6F14C9"/>
    <w:rsid w:val="4D6E0FDF"/>
    <w:rsid w:val="4EE4307A"/>
    <w:rsid w:val="5153143F"/>
    <w:rsid w:val="53BF4A08"/>
    <w:rsid w:val="54F12DEE"/>
    <w:rsid w:val="56B12768"/>
    <w:rsid w:val="5782618B"/>
    <w:rsid w:val="57D978A9"/>
    <w:rsid w:val="590A431D"/>
    <w:rsid w:val="5AA02985"/>
    <w:rsid w:val="5AA27C32"/>
    <w:rsid w:val="5ABF6A37"/>
    <w:rsid w:val="5B52028E"/>
    <w:rsid w:val="5B8D564A"/>
    <w:rsid w:val="5BBC2D30"/>
    <w:rsid w:val="5C5E5736"/>
    <w:rsid w:val="5CFF55E7"/>
    <w:rsid w:val="5D4E722C"/>
    <w:rsid w:val="5D9F3DAA"/>
    <w:rsid w:val="5FEC46EA"/>
    <w:rsid w:val="62FD50C5"/>
    <w:rsid w:val="63610EE2"/>
    <w:rsid w:val="638B1558"/>
    <w:rsid w:val="6425627D"/>
    <w:rsid w:val="65074FBA"/>
    <w:rsid w:val="659703CB"/>
    <w:rsid w:val="66D831C4"/>
    <w:rsid w:val="67CF1E38"/>
    <w:rsid w:val="68D715A4"/>
    <w:rsid w:val="68E50FD1"/>
    <w:rsid w:val="69512523"/>
    <w:rsid w:val="695E1B0C"/>
    <w:rsid w:val="6A9A21E4"/>
    <w:rsid w:val="6C235E1D"/>
    <w:rsid w:val="6E1C5756"/>
    <w:rsid w:val="6E87707F"/>
    <w:rsid w:val="6EE5797C"/>
    <w:rsid w:val="70887135"/>
    <w:rsid w:val="71086DB5"/>
    <w:rsid w:val="7198454F"/>
    <w:rsid w:val="730E70BD"/>
    <w:rsid w:val="744C65DA"/>
    <w:rsid w:val="75C31473"/>
    <w:rsid w:val="76CB77F0"/>
    <w:rsid w:val="77194D5B"/>
    <w:rsid w:val="789158CE"/>
    <w:rsid w:val="7A2E7545"/>
    <w:rsid w:val="7C3E5E46"/>
    <w:rsid w:val="7C5B5A63"/>
    <w:rsid w:val="7C9E31FA"/>
    <w:rsid w:val="7D955478"/>
    <w:rsid w:val="7EE759C2"/>
    <w:rsid w:val="7F2B31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99"/>
    <w:rPr>
      <w:rFonts w:cs="Times New Roman"/>
      <w:sz w:val="21"/>
      <w:szCs w:val="21"/>
    </w:rPr>
  </w:style>
  <w:style w:type="character" w:customStyle="1" w:styleId="12">
    <w:name w:val="批注文字 Char"/>
    <w:basedOn w:val="10"/>
    <w:link w:val="2"/>
    <w:qFormat/>
    <w:locked/>
    <w:uiPriority w:val="99"/>
    <w:rPr>
      <w:rFonts w:ascii="Calibri" w:hAnsi="Calibri" w:cs="黑体"/>
      <w:kern w:val="2"/>
      <w:sz w:val="24"/>
      <w:szCs w:val="24"/>
    </w:rPr>
  </w:style>
  <w:style w:type="character" w:customStyle="1" w:styleId="13">
    <w:name w:val="批注框文本 Char"/>
    <w:basedOn w:val="10"/>
    <w:link w:val="3"/>
    <w:locked/>
    <w:uiPriority w:val="99"/>
    <w:rPr>
      <w:rFonts w:ascii="Calibri" w:hAnsi="Calibri" w:cs="黑体"/>
      <w:kern w:val="2"/>
      <w:sz w:val="18"/>
      <w:szCs w:val="18"/>
    </w:rPr>
  </w:style>
  <w:style w:type="character" w:customStyle="1" w:styleId="14">
    <w:name w:val="页脚 Char"/>
    <w:basedOn w:val="10"/>
    <w:link w:val="4"/>
    <w:semiHidden/>
    <w:qFormat/>
    <w:uiPriority w:val="99"/>
    <w:rPr>
      <w:rFonts w:ascii="Calibri" w:hAnsi="Calibri" w:cs="黑体"/>
      <w:sz w:val="18"/>
      <w:szCs w:val="18"/>
    </w:rPr>
  </w:style>
  <w:style w:type="character" w:customStyle="1" w:styleId="15">
    <w:name w:val="页眉 Char"/>
    <w:basedOn w:val="10"/>
    <w:link w:val="5"/>
    <w:semiHidden/>
    <w:uiPriority w:val="99"/>
    <w:rPr>
      <w:rFonts w:ascii="Calibri" w:hAnsi="Calibri" w:cs="黑体"/>
      <w:sz w:val="18"/>
      <w:szCs w:val="18"/>
    </w:rPr>
  </w:style>
  <w:style w:type="character" w:customStyle="1" w:styleId="16">
    <w:name w:val="批注主题 Char"/>
    <w:basedOn w:val="12"/>
    <w:link w:val="7"/>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3.emf"/><Relationship Id="rId27" Type="http://schemas.openxmlformats.org/officeDocument/2006/relationships/image" Target="media/image12.emf"/><Relationship Id="rId26" Type="http://schemas.openxmlformats.org/officeDocument/2006/relationships/image" Target="media/image11.emf"/><Relationship Id="rId25" Type="http://schemas.openxmlformats.org/officeDocument/2006/relationships/image" Target="media/image10.emf"/><Relationship Id="rId24" Type="http://schemas.openxmlformats.org/officeDocument/2006/relationships/image" Target="media/image9.emf"/><Relationship Id="rId23" Type="http://schemas.openxmlformats.org/officeDocument/2006/relationships/image" Target="media/image8.emf"/><Relationship Id="rId22" Type="http://schemas.openxmlformats.org/officeDocument/2006/relationships/image" Target="media/image7.emf"/><Relationship Id="rId21" Type="http://schemas.openxmlformats.org/officeDocument/2006/relationships/oleObject" Target="embeddings/oleObject6.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1585</Words>
  <Characters>9036</Characters>
  <Lines>75</Lines>
  <Paragraphs>21</Paragraphs>
  <TotalTime>0</TotalTime>
  <ScaleCrop>false</ScaleCrop>
  <LinksUpToDate>false</LinksUpToDate>
  <CharactersWithSpaces>10600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2020-10-10T09:07:00Z</cp:lastPrinted>
  <dcterms:modified xsi:type="dcterms:W3CDTF">2020-10-27T04:19:18Z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