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人社</w:t>
      </w:r>
      <w:r>
        <w:rPr>
          <w:rFonts w:hint="eastAsia" w:asciiTheme="majorEastAsia" w:hAnsiTheme="majorEastAsia" w:eastAsiaTheme="majorEastAsia" w:cstheme="majorEastAsia"/>
          <w:b/>
          <w:bCs/>
          <w:sz w:val="48"/>
          <w:szCs w:val="48"/>
          <w:lang w:eastAsia="zh-CN"/>
        </w:rPr>
        <w:t>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olor w:val="000000"/>
          <w:sz w:val="32"/>
          <w:szCs w:val="32"/>
        </w:rPr>
        <w:t>贯彻执行有关人力资源和社会保障工作的法律、法规、规章和方针、政策；负责编制本区人力资源和社会保障事业发展中长期规划、专业规划和年度计划；负责拟订本区事业单位人事制度改革的政策、规定；综合管理本区人力资源工作，负责本区专业技术人员管理工作；贯彻执行《就业促进法》，负责本区促进就业工作；贯彻执行《劳动法》和《劳动合同法》；贯彻执行《社会保险法》，统筹建立覆盖城乡的社会保障体系；负责本区机关事业单位人员工资、福利的综合管理和分配制度改革工作</w:t>
      </w:r>
      <w:r>
        <w:rPr>
          <w:rFonts w:hint="eastAsia" w:ascii="仿宋_GB2312" w:hAnsi="宋体" w:eastAsia="仿宋_GB2312"/>
          <w:sz w:val="32"/>
          <w:szCs w:val="32"/>
        </w:rPr>
        <w:t>以及区委、区政府和上级部门交办的其他工作。</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spacing w:line="560" w:lineRule="exact"/>
        <w:ind w:firstLine="640" w:firstLineChars="200"/>
        <w:rPr>
          <w:rFonts w:hint="eastAsia" w:ascii="楷体" w:hAnsi="楷体" w:eastAsia="楷体" w:cs="楷体"/>
          <w:b/>
          <w:bCs/>
          <w:color w:val="000000"/>
          <w:kern w:val="0"/>
          <w:sz w:val="32"/>
          <w:szCs w:val="32"/>
          <w:lang w:val="en-US" w:eastAsia="zh-CN" w:bidi="ar"/>
        </w:rPr>
      </w:pPr>
      <w:r>
        <w:rPr>
          <w:rFonts w:hint="eastAsia" w:ascii="仿宋_GB2312" w:hAnsi="宋体" w:eastAsia="仿宋_GB2312"/>
          <w:sz w:val="32"/>
          <w:szCs w:val="32"/>
        </w:rPr>
        <w:t>区人社局为区政府工作部门，内设科室</w:t>
      </w:r>
      <w:r>
        <w:rPr>
          <w:rFonts w:hint="eastAsia" w:ascii="仿宋_GB2312" w:hAnsi="宋体" w:eastAsia="仿宋_GB2312"/>
          <w:sz w:val="32"/>
          <w:szCs w:val="32"/>
          <w:lang w:val="en-US" w:eastAsia="zh-CN"/>
        </w:rPr>
        <w:t>5</w:t>
      </w:r>
      <w:r>
        <w:rPr>
          <w:rFonts w:hint="eastAsia" w:ascii="仿宋_GB2312" w:hAnsi="宋体" w:eastAsia="仿宋_GB2312"/>
          <w:sz w:val="32"/>
          <w:szCs w:val="32"/>
        </w:rPr>
        <w:t>个，分别为：机关办公室、工资科、就业科、社保科、人事科。下设事业单位</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个，分别为：机关事业统筹办、城乡居民社会养老保险经办中心、就业管理服务中心、劳动保障监察大队。</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示例：纳入2019年本部门决算编制范围的单位共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杨陵区人力资源和社会保障局</w:t>
            </w:r>
            <w:r>
              <w:rPr>
                <w:rFonts w:hint="eastAsia" w:ascii="仿宋_GB2312" w:hAnsi="仿宋_GB2312" w:eastAsia="仿宋_GB2312" w:cs="仿宋_GB2312"/>
                <w:sz w:val="32"/>
                <w:szCs w:val="32"/>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宋体" w:eastAsia="仿宋_GB2312"/>
                <w:sz w:val="32"/>
                <w:szCs w:val="32"/>
              </w:rPr>
              <w:t>机关事业统筹办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7278" w:type="dxa"/>
            <w:vAlign w:val="center"/>
          </w:tcPr>
          <w:p>
            <w:pPr>
              <w:jc w:val="center"/>
              <w:rPr>
                <w:rFonts w:hint="eastAsia" w:ascii="仿宋_GB2312" w:hAnsi="仿宋_GB2312" w:eastAsia="仿宋_GB2312" w:cs="仿宋_GB2312"/>
                <w:sz w:val="32"/>
                <w:szCs w:val="32"/>
              </w:rPr>
            </w:pPr>
            <w:r>
              <w:rPr>
                <w:rFonts w:hint="eastAsia" w:ascii="仿宋_GB2312" w:hAnsi="宋体" w:eastAsia="仿宋_GB2312"/>
                <w:sz w:val="32"/>
                <w:szCs w:val="32"/>
              </w:rPr>
              <w:t>城乡居民社会养老保险经办中心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hint="eastAsia" w:ascii="仿宋_GB2312" w:hAnsi="仿宋_GB2312" w:eastAsia="仿宋_GB2312" w:cs="仿宋_GB2312"/>
                <w:sz w:val="32"/>
                <w:szCs w:val="32"/>
              </w:rPr>
            </w:pPr>
            <w:r>
              <w:rPr>
                <w:rFonts w:hint="eastAsia" w:ascii="仿宋_GB2312" w:hAnsi="宋体" w:eastAsia="仿宋_GB2312"/>
                <w:sz w:val="32"/>
                <w:szCs w:val="32"/>
              </w:rPr>
              <w:t>就业管理服务中心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p>
        </w:tc>
        <w:tc>
          <w:tcPr>
            <w:tcW w:w="7278" w:type="dxa"/>
            <w:vAlign w:val="center"/>
          </w:tcPr>
          <w:p>
            <w:pPr>
              <w:jc w:val="center"/>
              <w:rPr>
                <w:rFonts w:ascii="仿宋_GB2312" w:hAnsi="仿宋_GB2312" w:eastAsia="仿宋_GB2312" w:cs="仿宋_GB2312"/>
                <w:sz w:val="32"/>
                <w:szCs w:val="32"/>
              </w:rPr>
            </w:pPr>
            <w:r>
              <w:rPr>
                <w:rFonts w:hint="eastAsia" w:ascii="仿宋_GB2312" w:hAnsi="宋体" w:eastAsia="仿宋_GB2312"/>
                <w:sz w:val="32"/>
                <w:szCs w:val="32"/>
              </w:rPr>
              <w:t>劳动保障监察大队</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无政府性基金</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tabs>
                <w:tab w:val="left" w:pos="465"/>
              </w:tabs>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1289</w:t>
            </w:r>
            <w:r>
              <w:rPr>
                <w:rFonts w:hint="eastAsia" w:ascii="宋体" w:hAnsi="宋体" w:cs="宋体"/>
                <w:color w:val="000000"/>
                <w:szCs w:val="21"/>
                <w:lang w:val="en-US" w:eastAsia="zh-CN"/>
              </w:rPr>
              <w:t>.</w:t>
            </w:r>
            <w:r>
              <w:rPr>
                <w:rFonts w:hint="eastAsia" w:ascii="宋体" w:hAnsi="宋体" w:cs="宋体"/>
                <w:color w:val="000000"/>
                <w:szCs w:val="21"/>
                <w:lang w:eastAsia="zh-CN"/>
              </w:rPr>
              <w:t>88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2288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09</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9</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197</w:t>
            </w:r>
            <w:r>
              <w:rPr>
                <w:rFonts w:hint="eastAsia" w:ascii="宋体" w:hAnsi="宋体" w:cs="宋体"/>
                <w:bCs/>
                <w:color w:val="000000"/>
                <w:szCs w:val="21"/>
                <w:lang w:val="en-US" w:eastAsia="zh-CN"/>
              </w:rPr>
              <w:t>.</w:t>
            </w:r>
            <w:r>
              <w:rPr>
                <w:rFonts w:hint="eastAsia" w:ascii="宋体" w:hAnsi="宋体" w:cs="宋体"/>
                <w:bCs/>
                <w:color w:val="000000"/>
                <w:szCs w:val="21"/>
              </w:rPr>
              <w:t>0</w:t>
            </w:r>
            <w:r>
              <w:rPr>
                <w:rFonts w:hint="eastAsia" w:ascii="宋体" w:hAnsi="宋体" w:cs="宋体"/>
                <w:bCs/>
                <w:color w:val="000000"/>
                <w:szCs w:val="21"/>
                <w:lang w:val="en-US" w:eastAsia="zh-CN"/>
              </w:rPr>
              <w:t>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2496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2496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867" w:type="dxa"/>
        <w:tblInd w:w="0" w:type="dxa"/>
        <w:tblLayout w:type="fixed"/>
        <w:tblCellMar>
          <w:top w:w="15" w:type="dxa"/>
          <w:left w:w="15" w:type="dxa"/>
          <w:bottom w:w="15" w:type="dxa"/>
          <w:right w:w="15" w:type="dxa"/>
        </w:tblCellMar>
      </w:tblPr>
      <w:tblGrid>
        <w:gridCol w:w="852"/>
        <w:gridCol w:w="2282"/>
        <w:gridCol w:w="775"/>
        <w:gridCol w:w="856"/>
        <w:gridCol w:w="828"/>
        <w:gridCol w:w="639"/>
        <w:gridCol w:w="747"/>
        <w:gridCol w:w="475"/>
        <w:gridCol w:w="603"/>
        <w:gridCol w:w="810"/>
      </w:tblGrid>
      <w:tr>
        <w:tblPrEx>
          <w:tblCellMar>
            <w:top w:w="15" w:type="dxa"/>
            <w:left w:w="15" w:type="dxa"/>
            <w:bottom w:w="15" w:type="dxa"/>
            <w:right w:w="15" w:type="dxa"/>
          </w:tblCellMar>
        </w:tblPrEx>
        <w:trPr>
          <w:trHeight w:val="364" w:hRule="atLeast"/>
        </w:trPr>
        <w:tc>
          <w:tcPr>
            <w:tcW w:w="3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4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6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902" w:hRule="atLeast"/>
        </w:trPr>
        <w:tc>
          <w:tcPr>
            <w:tcW w:w="85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28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其中：教育收费</w:t>
            </w:r>
          </w:p>
        </w:tc>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3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2299.09</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1009.21</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1289.88</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207</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文化旅游体育与传媒支出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20701</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文化和旅游</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eastAsia="宋体" w:cs="宋体"/>
                <w:color w:val="000000"/>
                <w:szCs w:val="21"/>
                <w:lang w:val="en-US" w:eastAsia="zh-CN"/>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2070199</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其他文化和旅游支出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社会保障和就业支出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2289.09</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1009.21</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1279.88</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20801</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人力资源和社会保障管理事务</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368.87</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337.82</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31.05</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2080101</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行政运行</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140.12</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132.62</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7.5</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2080105</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劳动保障监察</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60.47</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60.47</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2080106</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就业管理事务</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92.65</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84.65</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8</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2080109</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社会保险经办机构</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66.1</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60.08</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6.01</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2080199</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其他人力资源和社会保障管理事务支出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9.53</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9.53</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20805</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行政事业单位离退休</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267.35</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267.35</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2080501</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归口管理的行政单位离退休</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2080502</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事业单位离退休</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10.2</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10.2</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2080503</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离退休人员管理机构</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128.08</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128.08</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2080506</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机关事业单位职业年金缴费支出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20807</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就业补助</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1596.38</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393.33</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1203.05</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2080711</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就业见习补贴</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111.82</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72.95</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38.88</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2080799</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其他就业补助支出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1484.56</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320.39</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1164.17</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20899</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其他社会保障和就业支出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56.49</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10.7</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45.78</w:t>
            </w:r>
          </w:p>
        </w:tc>
      </w:tr>
      <w:tr>
        <w:tblPrEx>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2089901</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color w:val="000000"/>
                <w:kern w:val="0"/>
                <w:sz w:val="13"/>
                <w:szCs w:val="13"/>
                <w:u w:val="none"/>
                <w:lang w:val="en-US" w:eastAsia="zh-CN" w:bidi="ar"/>
              </w:rPr>
              <w:t>其他社会保障和就业支出</w:t>
            </w:r>
          </w:p>
        </w:tc>
        <w:tc>
          <w:tcPr>
            <w:tcW w:w="7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56.49</w:t>
            </w:r>
          </w:p>
        </w:tc>
        <w:tc>
          <w:tcPr>
            <w:tcW w:w="8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10.7</w:t>
            </w:r>
          </w:p>
        </w:tc>
        <w:tc>
          <w:tcPr>
            <w:tcW w:w="82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45.78</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2667"/>
        <w:gridCol w:w="1006"/>
        <w:gridCol w:w="923"/>
        <w:gridCol w:w="788"/>
        <w:gridCol w:w="720"/>
        <w:gridCol w:w="639"/>
        <w:gridCol w:w="1156"/>
      </w:tblGrid>
      <w:tr>
        <w:tblPrEx>
          <w:tblCellMar>
            <w:top w:w="15" w:type="dxa"/>
            <w:left w:w="15" w:type="dxa"/>
            <w:bottom w:w="15" w:type="dxa"/>
            <w:right w:w="15" w:type="dxa"/>
          </w:tblCellMar>
        </w:tblPrEx>
        <w:trPr>
          <w:trHeight w:val="372" w:hRule="atLeast"/>
        </w:trPr>
        <w:tc>
          <w:tcPr>
            <w:tcW w:w="36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5" w:hRule="atLeast"/>
        </w:trPr>
        <w:tc>
          <w:tcPr>
            <w:tcW w:w="36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2298.39</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535.59</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1762.79</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文化和旅游</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2070199</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其他文化和旅游支出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2288.39</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535.59</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1752.79</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368.87</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345.32</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23.55</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2080101</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140.12</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140.12</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2080105</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劳动保障监察</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60.47</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60.47</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2080106</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就业管理事务</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92.65</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84.65</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社会保险经办机构</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66.1</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60.08</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6.01</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2080199</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其他人力资源和社会保障管理事务支出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9.53</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9.53</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267.35</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190.28</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2080501</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归口管理的行政单位离退休</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eastAsia="宋体" w:cs="宋体"/>
                <w:color w:val="000000"/>
                <w:szCs w:val="21"/>
                <w:lang w:val="en-US" w:eastAsia="zh-CN"/>
              </w:rPr>
            </w:pPr>
            <w:r>
              <w:rPr>
                <w:rFonts w:hint="default" w:ascii="Arial" w:hAnsi="Arial" w:eastAsia="宋体" w:cs="Arial"/>
                <w:i w:val="0"/>
                <w:color w:val="000000"/>
                <w:kern w:val="0"/>
                <w:sz w:val="20"/>
                <w:szCs w:val="20"/>
                <w:u w:val="none"/>
                <w:lang w:val="en-US" w:eastAsia="zh-CN" w:bidi="ar"/>
              </w:rPr>
              <w:t>52</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2080502</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事业单位离退休</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10.2</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10.2</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2080503</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离退休人员管理机构</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128.08</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128.08</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机关事业单位职业年金缴费支出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就业补助</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1595.58</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1595.58</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2080711</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就业见习补贴</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111.82</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111.82</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2080799</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其他就业补助支出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1483.76</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1483.76</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56.58</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56.58</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eastAsia" w:ascii="Arial" w:hAnsi="Arial"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4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56.58</w:t>
            </w:r>
          </w:p>
        </w:tc>
        <w:tc>
          <w:tcPr>
            <w:tcW w:w="9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56.58</w:t>
            </w:r>
          </w:p>
        </w:tc>
        <w:tc>
          <w:tcPr>
            <w:tcW w:w="7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cs="宋体"/>
                <w:color w:val="000000"/>
                <w:szCs w:val="21"/>
                <w:lang w:val="en-US"/>
              </w:rPr>
            </w:pPr>
            <w:r>
              <w:rPr>
                <w:rFonts w:hint="eastAsia" w:ascii="Arial" w:hAnsi="Arial" w:cs="Arial"/>
                <w:i w:val="0"/>
                <w:color w:val="000000"/>
                <w:kern w:val="0"/>
                <w:sz w:val="20"/>
                <w:szCs w:val="20"/>
                <w:u w:val="none"/>
                <w:lang w:val="en-US" w:eastAsia="zh-CN" w:bidi="ar"/>
              </w:rPr>
              <w:t>0</w:t>
            </w:r>
          </w:p>
        </w:tc>
        <w:tc>
          <w:tcPr>
            <w:tcW w:w="6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cs="宋体"/>
                <w:color w:val="000000"/>
                <w:szCs w:val="21"/>
                <w:lang w:val="en-US"/>
              </w:rPr>
            </w:pPr>
            <w:r>
              <w:rPr>
                <w:rFonts w:hint="eastAsia" w:ascii="Arial" w:hAnsi="Arial" w:cs="Arial"/>
                <w:i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cs="宋体"/>
                <w:color w:val="000000"/>
                <w:szCs w:val="21"/>
                <w:lang w:val="en-US"/>
              </w:rPr>
            </w:pPr>
            <w:r>
              <w:rPr>
                <w:rFonts w:hint="eastAsia" w:ascii="Arial" w:hAnsi="Arial" w:cs="Arial"/>
                <w:i w:val="0"/>
                <w:color w:val="000000"/>
                <w:kern w:val="0"/>
                <w:sz w:val="20"/>
                <w:szCs w:val="20"/>
                <w:u w:val="none"/>
                <w:lang w:val="en-US" w:eastAsia="zh-CN" w:bidi="ar"/>
              </w:rPr>
              <w:t>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1009.21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1009.21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1009.21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color w:val="000000"/>
                <w:kern w:val="2"/>
                <w:sz w:val="21"/>
                <w:szCs w:val="21"/>
                <w:lang w:val="en-US" w:eastAsia="zh-CN" w:bidi="ar-SA"/>
              </w:rPr>
              <w:t>0</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color w:val="000000"/>
                <w:kern w:val="2"/>
                <w:sz w:val="21"/>
                <w:szCs w:val="21"/>
                <w:lang w:val="en-US" w:eastAsia="zh-CN" w:bidi="ar-SA"/>
              </w:rPr>
              <w:t>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1009.21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1009.21</w:t>
            </w:r>
          </w:p>
        </w:tc>
        <w:tc>
          <w:tcPr>
            <w:tcW w:w="106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1009.21</w:t>
            </w:r>
          </w:p>
        </w:tc>
        <w:tc>
          <w:tcPr>
            <w:tcW w:w="119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3.57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3.57</w:t>
            </w:r>
          </w:p>
        </w:tc>
        <w:tc>
          <w:tcPr>
            <w:tcW w:w="106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3.57</w:t>
            </w:r>
          </w:p>
        </w:tc>
        <w:tc>
          <w:tcPr>
            <w:tcW w:w="119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3.57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1012.78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1012.78</w:t>
            </w:r>
          </w:p>
        </w:tc>
        <w:tc>
          <w:tcPr>
            <w:tcW w:w="106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1012.78</w:t>
            </w:r>
          </w:p>
        </w:tc>
        <w:tc>
          <w:tcPr>
            <w:tcW w:w="119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b/>
                <w:color w:val="000000"/>
                <w:kern w:val="0"/>
                <w:szCs w:val="21"/>
              </w:rPr>
            </w:pPr>
            <w:r>
              <w:rPr>
                <w:rFonts w:hint="default" w:ascii="Arial" w:hAnsi="Arial" w:eastAsia="宋体" w:cs="Arial"/>
                <w:i w:val="0"/>
                <w:color w:val="000000"/>
                <w:kern w:val="0"/>
                <w:sz w:val="20"/>
                <w:szCs w:val="20"/>
                <w:u w:val="none"/>
                <w:lang w:val="en-US" w:eastAsia="zh-CN" w:bidi="ar"/>
              </w:rPr>
              <w:t>0</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1009.21</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528.09</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503.99</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24.1</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481.12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1009.21</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528.09</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503.99</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24.1</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481.12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337.82</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337.82</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314.92</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22.9</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132.62</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132.62</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118.49</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14.13</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劳动保障监察</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60.47</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60.47</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55.46</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5.01</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就业管理事务</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84.65</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84.65</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82.69</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1.96</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60.08</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60.08</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58.28</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267.35</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190.28</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189.08</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52</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10.2</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10.2</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10.2</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离退休人员管理机构</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128.08</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128.08</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126.88</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77.08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就业补助</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393.33</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393.33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就业见习补贴</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72.95</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72.95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320.39</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320.39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10.7</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10.7</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528.09</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503.99</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24.1</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374.93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374.93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120.59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120.59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63.92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54.62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54.62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34.7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40.31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40.31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24.10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0.66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0.66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0.94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30215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会议费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129.06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129.06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离休费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3.66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医疗费补助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其他对个人和家庭的补助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16.75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16.75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5.66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2.57</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3.09</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3.09</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0.1</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ascii="仿宋_GB2312" w:hAnsi="宋体" w:eastAsia="仿宋_GB2312" w:cs="仿宋_GB2312"/>
          <w:color w:val="000000"/>
          <w:kern w:val="0"/>
          <w:sz w:val="32"/>
          <w:szCs w:val="32"/>
          <w:lang w:bidi="ar"/>
        </w:rPr>
        <w:t>合计</w:t>
      </w:r>
      <w:r>
        <w:rPr>
          <w:rFonts w:hint="eastAsia" w:ascii="仿宋_GB2312" w:hAnsi="宋体" w:eastAsia="仿宋_GB2312" w:cs="仿宋_GB2312"/>
          <w:color w:val="000000"/>
          <w:kern w:val="0"/>
          <w:sz w:val="32"/>
          <w:szCs w:val="32"/>
          <w:lang w:val="en-US" w:eastAsia="zh-CN" w:bidi="ar"/>
        </w:rPr>
        <w:t>2299.09</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6467.87万元</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为机构改革后编办和医保中心划出</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2019年支出</w:t>
      </w:r>
      <w:r>
        <w:rPr>
          <w:rFonts w:ascii="仿宋_GB2312" w:hAnsi="宋体" w:eastAsia="仿宋_GB2312" w:cs="仿宋_GB2312"/>
          <w:color w:val="000000"/>
          <w:kern w:val="0"/>
          <w:sz w:val="32"/>
          <w:szCs w:val="32"/>
          <w:lang w:bidi="ar"/>
        </w:rPr>
        <w:t>合计</w:t>
      </w:r>
      <w:r>
        <w:rPr>
          <w:rFonts w:hint="eastAsia" w:ascii="仿宋_GB2312" w:hAnsi="宋体" w:eastAsia="仿宋_GB2312" w:cs="仿宋_GB2312"/>
          <w:color w:val="000000"/>
          <w:kern w:val="0"/>
          <w:sz w:val="32"/>
          <w:szCs w:val="32"/>
          <w:lang w:val="en-US" w:eastAsia="zh-CN" w:bidi="ar"/>
        </w:rPr>
        <w:t>2298.39</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6294.57万元</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为机构改革后编办和医保中心划出</w:t>
      </w:r>
      <w:r>
        <w:rPr>
          <w:rFonts w:hint="eastAsia" w:ascii="仿宋_GB2312" w:hAnsi="仿宋" w:eastAsia="仿宋_GB2312"/>
          <w:sz w:val="32"/>
          <w:szCs w:val="32"/>
        </w:rPr>
        <w:t>。</w:t>
      </w:r>
    </w:p>
    <w:p>
      <w:pPr>
        <w:widowControl/>
        <w:ind w:firstLine="640" w:firstLineChars="200"/>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3907790" cy="2550160"/>
            <wp:effectExtent l="4445" t="4445" r="1397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2299.09</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1009.21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43.9</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1289.88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56.1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3796030" cy="2724785"/>
            <wp:effectExtent l="4445" t="5080" r="5715"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2298.39</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535.6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23.3</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1762.79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76.7</w:t>
      </w:r>
      <w:r>
        <w:rPr>
          <w:rFonts w:ascii="仿宋_GB2312" w:hAnsi="宋体" w:eastAsia="仿宋_GB2312" w:cs="仿宋_GB2312"/>
          <w:color w:val="000000"/>
          <w:kern w:val="0"/>
          <w:sz w:val="32"/>
          <w:szCs w:val="32"/>
          <w:lang w:bidi="ar"/>
        </w:rPr>
        <w:t>%。</w:t>
      </w:r>
    </w:p>
    <w:p>
      <w:pPr>
        <w:widowControl/>
        <w:ind w:firstLine="640" w:firstLineChars="200"/>
        <w:jc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3961765" cy="2792730"/>
            <wp:effectExtent l="4445" t="4445" r="11430"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1009.21万元，</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了6593.59万</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为机构改革后编办和医保中心划出</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1009.21万元，</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6594.43万</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为机构改革后编办和医保中心划出</w:t>
      </w:r>
      <w:r>
        <w:rPr>
          <w:rFonts w:hint="eastAsia" w:ascii="仿宋_GB2312" w:hAnsi="仿宋" w:eastAsia="仿宋_GB2312"/>
          <w:sz w:val="32"/>
          <w:szCs w:val="32"/>
        </w:rPr>
        <w:t>。</w:t>
      </w:r>
    </w:p>
    <w:p>
      <w:pPr>
        <w:widowControl/>
        <w:ind w:firstLine="640" w:firstLineChars="200"/>
        <w:jc w:val="center"/>
        <w:rPr>
          <w:rFonts w:hint="eastAsia" w:ascii="仿宋_GB2312" w:hAnsi="仿宋" w:eastAsia="仿宋_GB2312"/>
          <w:sz w:val="32"/>
          <w:szCs w:val="32"/>
        </w:rPr>
      </w:pPr>
      <w:r>
        <w:rPr>
          <w:rFonts w:hint="eastAsia" w:ascii="仿宋_GB2312" w:hAnsi="仿宋" w:eastAsia="仿宋_GB2312"/>
          <w:sz w:val="32"/>
          <w:szCs w:val="32"/>
          <w:lang w:eastAsia="zh-CN"/>
        </w:rPr>
        <w:drawing>
          <wp:inline distT="0" distB="0" distL="114300" distR="114300">
            <wp:extent cx="4201160" cy="3249930"/>
            <wp:effectExtent l="4445" t="5080" r="12065" b="196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1009.21</w:t>
      </w:r>
      <w:r>
        <w:rPr>
          <w:rFonts w:ascii="仿宋_GB2312" w:hAnsi="宋体" w:eastAsia="仿宋_GB2312" w:cs="仿宋_GB2312"/>
          <w:color w:val="000000"/>
          <w:kern w:val="0"/>
          <w:sz w:val="32"/>
          <w:szCs w:val="32"/>
          <w:lang w:bidi="ar"/>
        </w:rPr>
        <w:t xml:space="preserve">万元，占本年支出合 </w:t>
      </w:r>
    </w:p>
    <w:p>
      <w:pPr>
        <w:widowControl/>
        <w:jc w:val="left"/>
      </w:pPr>
      <w:r>
        <w:rPr>
          <w:rFonts w:ascii="仿宋_GB2312" w:hAnsi="宋体" w:eastAsia="仿宋_GB2312" w:cs="仿宋_GB2312"/>
          <w:color w:val="000000"/>
          <w:kern w:val="0"/>
          <w:sz w:val="32"/>
          <w:szCs w:val="32"/>
          <w:lang w:bidi="ar"/>
        </w:rPr>
        <w:t>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仿宋" w:eastAsia="仿宋_GB2312"/>
          <w:sz w:val="32"/>
          <w:szCs w:val="32"/>
          <w:lang w:val="en-US" w:eastAsia="zh-CN"/>
        </w:rPr>
        <w:t>6594.43</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86.73</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为机构改革后编办和医保中心划出</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val="en-US" w:eastAsia="zh-CN" w:bidi="ar"/>
        </w:rPr>
        <w:t>2947.67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2298.39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14.49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 xml:space="preserve">1.一般公共服务支出（类）财政事务（款）行政运行（项）。 </w:t>
      </w:r>
    </w:p>
    <w:p>
      <w:pPr>
        <w:widowControl/>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numPr>
          <w:ilvl w:val="0"/>
          <w:numId w:val="2"/>
        </w:numPr>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文化旅游体育与媒体支出。年初预算数为10万元，支出决算为10万元。</w:t>
      </w:r>
    </w:p>
    <w:p>
      <w:pPr>
        <w:widowControl/>
        <w:numPr>
          <w:ilvl w:val="0"/>
          <w:numId w:val="2"/>
        </w:numPr>
        <w:ind w:left="0" w:leftChars="0"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社会保障就业支出。年初预算数为2937.67万元，支出决算为2288.39</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机构改革医保中心划出</w:t>
      </w:r>
    </w:p>
    <w:p>
      <w:pPr>
        <w:widowControl/>
        <w:numPr>
          <w:ilvl w:val="0"/>
          <w:numId w:val="0"/>
        </w:numPr>
        <w:ind w:leftChars="20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224655" cy="2895600"/>
            <wp:effectExtent l="4445" t="5080" r="5715"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360" w:lineRule="auto"/>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528.09</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503.99</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24.1</w:t>
      </w:r>
      <w:r>
        <w:rPr>
          <w:rFonts w:ascii="仿宋_GB2312" w:hAnsi="仿宋_GB2312" w:eastAsia="仿宋_GB2312" w:cs="仿宋_GB2312"/>
          <w:color w:val="000000"/>
          <w:kern w:val="0"/>
          <w:sz w:val="31"/>
          <w:szCs w:val="31"/>
          <w:lang w:bidi="ar"/>
        </w:rPr>
        <w:t>万元。</w:t>
      </w:r>
    </w:p>
    <w:p>
      <w:pPr>
        <w:spacing w:line="360" w:lineRule="auto"/>
        <w:ind w:firstLine="640" w:firstLineChars="200"/>
        <w:jc w:val="center"/>
        <w:rPr>
          <w:rFonts w:ascii="仿宋_GB2312" w:hAnsi="仿宋_GB2312" w:eastAsia="仿宋_GB2312" w:cs="仿宋_GB2312"/>
          <w:color w:val="000000"/>
          <w:kern w:val="0"/>
          <w:sz w:val="31"/>
          <w:szCs w:val="31"/>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4191635" cy="2576195"/>
            <wp:effectExtent l="4445" t="4445" r="21590" b="82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3"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503.99</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val="en-US" w:eastAsia="zh-CN" w:bidi="ar"/>
        </w:rPr>
        <w:t>120.59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津贴补贴63.92万元，奖金60.8万元、绩效工资54.62万元、机关事业单位基本养老保险缴费34.7万元、住房公积金40.31万元、离休费62.2万元、抚恤金4.97万元、生活补助3.66万元、医疗费补助41.4万元、奖励金0.08万元、其他对个人和家庭的补助16.75万元</w:t>
      </w:r>
      <w:r>
        <w:rPr>
          <w:rFonts w:hint="eastAsia" w:ascii="仿宋_GB2312" w:hAnsi="宋体" w:eastAsia="仿宋_GB2312" w:cs="仿宋_GB2312"/>
          <w:color w:val="000000"/>
          <w:kern w:val="0"/>
          <w:sz w:val="32"/>
          <w:szCs w:val="32"/>
          <w:lang w:bidi="ar"/>
        </w:rPr>
        <w:t>。</w:t>
      </w:r>
    </w:p>
    <w:p>
      <w:pPr>
        <w:widowControl/>
        <w:ind w:firstLine="640" w:firstLineChars="200"/>
        <w:jc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966970" cy="2562225"/>
            <wp:effectExtent l="4445" t="4445" r="1778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3"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24.1</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val="en-US" w:eastAsia="zh-CN" w:bidi="ar"/>
        </w:rPr>
        <w:t>2.72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印刷费1.35万元、手续费0.18万元、水费0.1万元、电费0.6万元、邮电费2.63万元、差旅费0.06万元、维修（护）费0.94万元、会议费0.1万元、公务接待费2.1万元、工会经费5.51万元、其他交通费用7.63万元、其他商品和服务支出0.14万元</w:t>
      </w:r>
      <w:r>
        <w:rPr>
          <w:rFonts w:hint="eastAsia" w:ascii="仿宋_GB2312" w:hAnsi="宋体" w:eastAsia="仿宋_GB2312" w:cs="仿宋_GB2312"/>
          <w:color w:val="000000"/>
          <w:kern w:val="0"/>
          <w:sz w:val="32"/>
          <w:szCs w:val="32"/>
          <w:lang w:bidi="ar"/>
        </w:rPr>
        <w:t>。</w:t>
      </w:r>
    </w:p>
    <w:p>
      <w:pPr>
        <w:widowControl/>
        <w:ind w:firstLine="640" w:firstLineChars="200"/>
        <w:jc w:val="center"/>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4519930" cy="2887345"/>
            <wp:effectExtent l="4445" t="5080" r="19050"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5.66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37.1</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3.56</w:t>
      </w:r>
      <w:r>
        <w:rPr>
          <w:rFonts w:hint="eastAsia" w:ascii="仿宋_GB2312" w:hAnsi="宋体" w:eastAsia="仿宋_GB2312" w:cs="仿宋_GB2312"/>
          <w:color w:val="000000"/>
          <w:kern w:val="0"/>
          <w:sz w:val="32"/>
          <w:szCs w:val="32"/>
          <w:lang w:bidi="ar"/>
        </w:rPr>
        <w:t>万元。</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万元；公务接待费支出决算</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万元。具体情况如下：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示例：2019年因公出国（境）团组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bookmarkStart w:id="0" w:name="_GoBack"/>
      <w:bookmarkEnd w:id="0"/>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示例：2019年购置车辆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示例：2019年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3.09</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311</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2.57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示例：2019年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rPr>
        <w:t>示例：2019年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13</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15860.42</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pPr>
      <w:r>
        <w:rPr>
          <w:rFonts w:hint="eastAsia" w:ascii="仿宋_GB2312" w:hAnsi="仿宋_GB2312" w:eastAsia="仿宋_GB2312" w:cs="仿宋_GB2312"/>
          <w:color w:val="000000"/>
          <w:kern w:val="0"/>
          <w:sz w:val="31"/>
          <w:szCs w:val="31"/>
          <w:lang w:val="en-US" w:eastAsia="zh-CN" w:bidi="ar"/>
        </w:rPr>
        <w:t>部门整体支出</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15860.42</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1009.21</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6.36</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居民可支配收入不断提高、城乡居民社会保障力度不断加强</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val="en-US" w:eastAsia="zh-CN" w:bidi="ar"/>
        </w:rPr>
        <w:t>因机构改革等原因，预算执行数明显偏低</w:t>
      </w:r>
      <w:r>
        <w:rPr>
          <w:rFonts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780pt;width:462.8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02.65pt;width:631.6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97.65pt;width:587.45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47.55pt;width:585.3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_GB2312" w:eastAsia="仿宋_GB2312" w:cs="仿宋_GB2312"/>
          <w:sz w:val="32"/>
          <w:szCs w:val="32"/>
        </w:rPr>
        <w:t>示例：</w:t>
      </w: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19.14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106.3%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增加1.14</w:t>
      </w:r>
      <w:r>
        <w:rPr>
          <w:rFonts w:hint="eastAsia" w:ascii="仿宋_GB2312" w:hAnsi="宋体" w:eastAsia="仿宋_GB2312" w:cs="仿宋_GB2312"/>
          <w:color w:val="000000"/>
          <w:kern w:val="0"/>
          <w:sz w:val="32"/>
          <w:szCs w:val="32"/>
          <w:lang w:bidi="ar"/>
        </w:rPr>
        <w:t>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黑体" w:hAnsi="宋体" w:eastAsia="黑体"/>
          <w:color w:val="000000"/>
          <w:kern w:val="0"/>
          <w:sz w:val="32"/>
          <w:szCs w:val="32"/>
          <w:lang w:bidi="ar"/>
        </w:rPr>
      </w:pPr>
      <w:r>
        <w:rPr>
          <w:rFonts w:hint="eastAsia" w:ascii="仿宋_GB2312" w:hAnsi="仿宋_GB2312" w:eastAsia="仿宋_GB2312" w:cs="仿宋_GB2312"/>
          <w:sz w:val="32"/>
          <w:szCs w:val="32"/>
        </w:rPr>
        <w:t>示例：截至2019年末，本部门机关及所属单位共有车辆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E3C6"/>
    <w:multiLevelType w:val="singleLevel"/>
    <w:tmpl w:val="19FFE3C6"/>
    <w:lvl w:ilvl="0" w:tentative="0">
      <w:start w:val="2"/>
      <w:numFmt w:val="chineseCounting"/>
      <w:suff w:val="nothing"/>
      <w:lvlText w:val="（%1）"/>
      <w:lvlJc w:val="left"/>
      <w:rPr>
        <w:rFonts w:hint="eastAsia"/>
      </w:rPr>
    </w:lvl>
  </w:abstractNum>
  <w:abstractNum w:abstractNumId="1">
    <w:nsid w:val="5F141948"/>
    <w:multiLevelType w:val="singleLevel"/>
    <w:tmpl w:val="5F14194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3FC020F"/>
    <w:rsid w:val="0C471331"/>
    <w:rsid w:val="125E2600"/>
    <w:rsid w:val="132E46A0"/>
    <w:rsid w:val="14411117"/>
    <w:rsid w:val="1586116E"/>
    <w:rsid w:val="168C0303"/>
    <w:rsid w:val="16B32109"/>
    <w:rsid w:val="18BB4AD7"/>
    <w:rsid w:val="1B4A3FDA"/>
    <w:rsid w:val="1B524C98"/>
    <w:rsid w:val="1C5E2F73"/>
    <w:rsid w:val="1D690B99"/>
    <w:rsid w:val="1D6E0C0D"/>
    <w:rsid w:val="1DF57C9F"/>
    <w:rsid w:val="20B5514F"/>
    <w:rsid w:val="221C15BB"/>
    <w:rsid w:val="29785A6B"/>
    <w:rsid w:val="2D1F3974"/>
    <w:rsid w:val="2DB52EF2"/>
    <w:rsid w:val="31AA6038"/>
    <w:rsid w:val="33887EE3"/>
    <w:rsid w:val="34677C61"/>
    <w:rsid w:val="36517086"/>
    <w:rsid w:val="39080A72"/>
    <w:rsid w:val="3B121AD1"/>
    <w:rsid w:val="3CFD0D2E"/>
    <w:rsid w:val="41603979"/>
    <w:rsid w:val="41CF436B"/>
    <w:rsid w:val="4619368A"/>
    <w:rsid w:val="471F2499"/>
    <w:rsid w:val="4A866EB4"/>
    <w:rsid w:val="4D6E0FDF"/>
    <w:rsid w:val="4DCE0801"/>
    <w:rsid w:val="4EE4307A"/>
    <w:rsid w:val="5153143F"/>
    <w:rsid w:val="54F12DEE"/>
    <w:rsid w:val="5B8D564A"/>
    <w:rsid w:val="65074FBA"/>
    <w:rsid w:val="69512523"/>
    <w:rsid w:val="6AB74D18"/>
    <w:rsid w:val="6B535A81"/>
    <w:rsid w:val="70D77BC7"/>
    <w:rsid w:val="71086DB5"/>
    <w:rsid w:val="75C31473"/>
    <w:rsid w:val="78055FCE"/>
    <w:rsid w:val="7C3E5E46"/>
    <w:rsid w:val="7C5B5A63"/>
    <w:rsid w:val="7D6D343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325"/>
          <c:y val="0.129166666666667"/>
          <c:w val="0.882425"/>
          <c:h val="0.7169"/>
        </c:manualLayout>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8766.96</c:v>
                </c:pt>
                <c:pt idx="1">
                  <c:v>8592.96</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2299.09</c:v>
                </c:pt>
                <c:pt idx="1">
                  <c:v>2298.39</c:v>
                </c:pt>
              </c:numCache>
            </c:numRef>
          </c:val>
        </c:ser>
        <c:dLbls>
          <c:showLegendKey val="0"/>
          <c:showVal val="0"/>
          <c:showCatName val="0"/>
          <c:showSerName val="0"/>
          <c:showPercent val="0"/>
          <c:showBubbleSize val="0"/>
        </c:dLbls>
        <c:gapWidth val="219"/>
        <c:overlap val="-27"/>
        <c:axId val="144490490"/>
        <c:axId val="635201099"/>
      </c:barChart>
      <c:catAx>
        <c:axId val="1444904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201099"/>
        <c:crosses val="autoZero"/>
        <c:auto val="1"/>
        <c:lblAlgn val="ctr"/>
        <c:lblOffset val="100"/>
        <c:noMultiLvlLbl val="0"/>
      </c:catAx>
      <c:valAx>
        <c:axId val="6352010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4904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2019年收入合计2299.09万元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财政拨款收入</c:v>
                </c:pt>
                <c:pt idx="1">
                  <c:v>其他收入</c:v>
                </c:pt>
              </c:strCache>
            </c:strRef>
          </c:cat>
          <c:val>
            <c:numRef>
              <c:f>Sheet1!$B$2:$B$3</c:f>
              <c:numCache>
                <c:formatCode>General</c:formatCode>
                <c:ptCount val="2"/>
                <c:pt idx="0">
                  <c:v>1009.21</c:v>
                </c:pt>
                <c:pt idx="1">
                  <c:v>1289.88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2019年支出合计2298.39万元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基本支出535.6万元</c:v>
                </c:pt>
                <c:pt idx="1">
                  <c:v>项目支出1762.79万元</c:v>
                </c:pt>
              </c:strCache>
            </c:strRef>
          </c:cat>
          <c:val>
            <c:numRef>
              <c:f>Sheet1!$B$2:$B$3</c:f>
              <c:numCache>
                <c:formatCode>General</c:formatCode>
                <c:ptCount val="2"/>
                <c:pt idx="0">
                  <c:v>535.6</c:v>
                </c:pt>
                <c:pt idx="1">
                  <c:v>1762.79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325"/>
          <c:y val="0.129166666666667"/>
          <c:w val="0.882425"/>
          <c:h val="0.7169"/>
        </c:manualLayout>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7602.8</c:v>
                </c:pt>
                <c:pt idx="1">
                  <c:v>7603.64</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1009.21</c:v>
                </c:pt>
                <c:pt idx="1">
                  <c:v>1009.21</c:v>
                </c:pt>
              </c:numCache>
            </c:numRef>
          </c:val>
        </c:ser>
        <c:dLbls>
          <c:showLegendKey val="0"/>
          <c:showVal val="0"/>
          <c:showCatName val="0"/>
          <c:showSerName val="0"/>
          <c:showPercent val="0"/>
          <c:showBubbleSize val="0"/>
        </c:dLbls>
        <c:gapWidth val="219"/>
        <c:overlap val="-27"/>
        <c:axId val="144490490"/>
        <c:axId val="635201099"/>
      </c:barChart>
      <c:catAx>
        <c:axId val="1444904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201099"/>
        <c:crosses val="autoZero"/>
        <c:auto val="1"/>
        <c:lblAlgn val="ctr"/>
        <c:lblOffset val="100"/>
        <c:noMultiLvlLbl val="0"/>
      </c:catAx>
      <c:valAx>
        <c:axId val="6352010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4904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文化旅游体育与媒体支出</c:v>
                </c:pt>
                <c:pt idx="1">
                  <c:v>社会保障就业支出</c:v>
                </c:pt>
              </c:strCache>
            </c:strRef>
          </c:cat>
          <c:val>
            <c:numRef>
              <c:f>Sheet1!$B$2:$B$3</c:f>
              <c:numCache>
                <c:formatCode>General</c:formatCode>
                <c:ptCount val="2"/>
                <c:pt idx="0">
                  <c:v>10</c:v>
                </c:pt>
                <c:pt idx="1">
                  <c:v>2288.39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一般公共预算财政拨款基本支出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人员经费支出</c:v>
                </c:pt>
                <c:pt idx="1">
                  <c:v>公用经费支出</c:v>
                </c:pt>
              </c:strCache>
            </c:strRef>
          </c:cat>
          <c:val>
            <c:numRef>
              <c:f>Sheet1!$B$2:$B$3</c:f>
              <c:numCache>
                <c:formatCode>General</c:formatCode>
                <c:ptCount val="2"/>
                <c:pt idx="0">
                  <c:v>503.99</c:v>
                </c:pt>
                <c:pt idx="1">
                  <c:v>24.1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80184124755355"/>
          <c:y val="0.0972117558402412"/>
          <c:w val="0.278969721225677"/>
          <c:h val="0.5842877507108"/>
        </c:manualLayout>
      </c:layout>
      <c:pieChart>
        <c:varyColors val="1"/>
        <c:ser>
          <c:idx val="0"/>
          <c:order val="0"/>
          <c:tx>
            <c:strRef>
              <c:f>Sheet1!$B$1</c:f>
              <c:strCache>
                <c:ptCount val="1"/>
                <c:pt idx="0">
                  <c:v>人员经费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elete val="1"/>
          </c:dLbls>
          <c:cat>
            <c:strRef>
              <c:f>Sheet1!$A$2:$A$13</c:f>
              <c:strCache>
                <c:ptCount val="12"/>
                <c:pt idx="0">
                  <c:v>基本工资</c:v>
                </c:pt>
                <c:pt idx="1">
                  <c:v>津贴补贴</c:v>
                </c:pt>
                <c:pt idx="2">
                  <c:v>奖金</c:v>
                </c:pt>
                <c:pt idx="3">
                  <c:v>绩效工资</c:v>
                </c:pt>
                <c:pt idx="4">
                  <c:v>机关事业单位基本养老保险缴费</c:v>
                </c:pt>
                <c:pt idx="5">
                  <c:v>住房公积金</c:v>
                </c:pt>
                <c:pt idx="6">
                  <c:v>离休费</c:v>
                </c:pt>
                <c:pt idx="7">
                  <c:v>抚恤金</c:v>
                </c:pt>
                <c:pt idx="8">
                  <c:v>生活补助</c:v>
                </c:pt>
                <c:pt idx="9">
                  <c:v>医疗费补助</c:v>
                </c:pt>
                <c:pt idx="10">
                  <c:v>奖励金</c:v>
                </c:pt>
                <c:pt idx="11">
                  <c:v>其他对个人和家庭的补助</c:v>
                </c:pt>
              </c:strCache>
            </c:strRef>
          </c:cat>
          <c:val>
            <c:numRef>
              <c:f>Sheet1!$B$2:$B$13</c:f>
              <c:numCache>
                <c:formatCode>General</c:formatCode>
                <c:ptCount val="12"/>
                <c:pt idx="0">
                  <c:v>120.59</c:v>
                </c:pt>
                <c:pt idx="1">
                  <c:v>63.92</c:v>
                </c:pt>
                <c:pt idx="2">
                  <c:v>60.8</c:v>
                </c:pt>
                <c:pt idx="3">
                  <c:v>54.62</c:v>
                </c:pt>
                <c:pt idx="4">
                  <c:v>34.7</c:v>
                </c:pt>
                <c:pt idx="5">
                  <c:v>40.31</c:v>
                </c:pt>
                <c:pt idx="6">
                  <c:v>62.2</c:v>
                </c:pt>
                <c:pt idx="7">
                  <c:v>4.97</c:v>
                </c:pt>
                <c:pt idx="8">
                  <c:v>3.66</c:v>
                </c:pt>
                <c:pt idx="9">
                  <c:v>41.4</c:v>
                </c:pt>
                <c:pt idx="10">
                  <c:v>0.08</c:v>
                </c:pt>
                <c:pt idx="11">
                  <c:v>16.75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1840239912759"/>
          <c:y val="0.708684009181331"/>
          <c:w val="0.970419847328244"/>
          <c:h val="0.2683626625860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58668165214948"/>
          <c:y val="0.117440070376072"/>
          <c:w val="0.341388030345603"/>
          <c:h val="0.534418297778755"/>
        </c:manualLayout>
      </c:layout>
      <c:pieChart>
        <c:varyColors val="1"/>
        <c:ser>
          <c:idx val="0"/>
          <c:order val="0"/>
          <c:tx>
            <c:strRef>
              <c:f>Sheet1!$B$1</c:f>
              <c:strCache>
                <c:ptCount val="1"/>
                <c:pt idx="0">
                  <c:v>公用经费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Lbls>
            <c:delete val="1"/>
          </c:dLbls>
          <c:cat>
            <c:strRef>
              <c:f>Sheet1!$A$2:$A$14</c:f>
              <c:strCache>
                <c:ptCount val="13"/>
                <c:pt idx="0">
                  <c:v>办公费</c:v>
                </c:pt>
                <c:pt idx="1">
                  <c:v>印刷费</c:v>
                </c:pt>
                <c:pt idx="2">
                  <c:v>手续费</c:v>
                </c:pt>
                <c:pt idx="3">
                  <c:v>水费</c:v>
                </c:pt>
                <c:pt idx="4">
                  <c:v>电费</c:v>
                </c:pt>
                <c:pt idx="5">
                  <c:v>邮电费</c:v>
                </c:pt>
                <c:pt idx="6">
                  <c:v>差旅费</c:v>
                </c:pt>
                <c:pt idx="7">
                  <c:v>维护费</c:v>
                </c:pt>
                <c:pt idx="8">
                  <c:v>会议费</c:v>
                </c:pt>
                <c:pt idx="9">
                  <c:v>公务接待费</c:v>
                </c:pt>
                <c:pt idx="10">
                  <c:v>工会经费</c:v>
                </c:pt>
                <c:pt idx="11">
                  <c:v>其他交通费用</c:v>
                </c:pt>
                <c:pt idx="12">
                  <c:v>其他商品和服务支出</c:v>
                </c:pt>
              </c:strCache>
            </c:strRef>
          </c:cat>
          <c:val>
            <c:numRef>
              <c:f>Sheet1!$B$2:$B$14</c:f>
              <c:numCache>
                <c:formatCode>General</c:formatCode>
                <c:ptCount val="13"/>
                <c:pt idx="0">
                  <c:v>2.72</c:v>
                </c:pt>
                <c:pt idx="1">
                  <c:v>1.35</c:v>
                </c:pt>
                <c:pt idx="2">
                  <c:v>0.18</c:v>
                </c:pt>
                <c:pt idx="3">
                  <c:v>0.1</c:v>
                </c:pt>
                <c:pt idx="4">
                  <c:v>0.66</c:v>
                </c:pt>
                <c:pt idx="5">
                  <c:v>2.63</c:v>
                </c:pt>
                <c:pt idx="6">
                  <c:v>0.06</c:v>
                </c:pt>
                <c:pt idx="7">
                  <c:v>0.94</c:v>
                </c:pt>
                <c:pt idx="8">
                  <c:v>0.1</c:v>
                </c:pt>
                <c:pt idx="9">
                  <c:v>2.1</c:v>
                </c:pt>
                <c:pt idx="10">
                  <c:v>5.51</c:v>
                </c:pt>
                <c:pt idx="11">
                  <c:v>7.63</c:v>
                </c:pt>
                <c:pt idx="12">
                  <c:v>0.14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144703568418095"/>
          <c:y val="0.658456124917528"/>
          <c:w val="0.973447597639786"/>
          <c:h val="0.3151528480316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20</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2020-07-28T02:12:00Z</cp:lastPrinted>
  <dcterms:modified xsi:type="dcterms:W3CDTF">2020-11-02T03:41:33Z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