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8"/>
          <w:szCs w:val="48"/>
        </w:rPr>
      </w:pPr>
      <w:r>
        <w:rPr>
          <w:rFonts w:hint="eastAsia" w:ascii="宋体" w:hAnsi="宋体" w:cs="宋体"/>
          <w:b/>
          <w:bCs/>
          <w:sz w:val="48"/>
          <w:szCs w:val="48"/>
        </w:rPr>
        <w:t>杨陵区行政审批服务局</w:t>
      </w:r>
      <w:r>
        <w:rPr>
          <w:rFonts w:ascii="宋体" w:hAnsi="宋体" w:cs="宋体"/>
          <w:b/>
          <w:bCs/>
          <w:sz w:val="48"/>
          <w:szCs w:val="48"/>
        </w:rPr>
        <w:t>2019</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ind w:firstLine="2570" w:firstLineChars="800"/>
        <w:rPr>
          <w:rFonts w:ascii="宋体" w:cs="宋体"/>
          <w:b/>
          <w:bCs/>
          <w:sz w:val="32"/>
          <w:szCs w:val="32"/>
        </w:rPr>
      </w:pPr>
    </w:p>
    <w:p>
      <w:pPr>
        <w:spacing w:line="560" w:lineRule="exact"/>
        <w:ind w:firstLine="2570" w:firstLineChars="800"/>
        <w:rPr>
          <w:rFonts w:ascii="宋体" w:cs="宋体"/>
          <w:b/>
          <w:bCs/>
          <w:sz w:val="32"/>
          <w:szCs w:val="32"/>
        </w:rPr>
      </w:pPr>
    </w:p>
    <w:p>
      <w:pPr>
        <w:spacing w:line="560" w:lineRule="exact"/>
        <w:ind w:firstLine="2088" w:firstLineChars="650"/>
        <w:rPr>
          <w:rFonts w:ascii="宋体" w:cs="宋体"/>
          <w:b/>
          <w:bCs/>
          <w:sz w:val="32"/>
          <w:szCs w:val="32"/>
        </w:rPr>
      </w:pPr>
      <w:r>
        <w:rPr>
          <w:rFonts w:hint="eastAsia" w:ascii="宋体" w:hAnsi="宋体" w:cs="宋体"/>
          <w:b/>
          <w:bCs/>
          <w:sz w:val="32"/>
          <w:szCs w:val="32"/>
        </w:rPr>
        <w:t>保密审查情况：已审查</w:t>
      </w:r>
    </w:p>
    <w:p>
      <w:pPr>
        <w:spacing w:line="560" w:lineRule="exact"/>
        <w:jc w:val="center"/>
        <w:rPr>
          <w:rFonts w:ascii="宋体" w:cs="宋体"/>
          <w:b/>
          <w:bCs/>
          <w:sz w:val="32"/>
          <w:szCs w:val="32"/>
        </w:rPr>
      </w:pPr>
    </w:p>
    <w:p>
      <w:pPr>
        <w:spacing w:line="56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spacing w:line="560" w:lineRule="exact"/>
        <w:rPr>
          <w:rFonts w:ascii="宋体" w:cs="宋体"/>
          <w:b/>
          <w:bCs/>
          <w:sz w:val="32"/>
          <w:szCs w:val="32"/>
        </w:rPr>
      </w:pPr>
    </w:p>
    <w:p>
      <w:pPr>
        <w:spacing w:line="560" w:lineRule="exact"/>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目录</w:t>
      </w:r>
    </w:p>
    <w:p>
      <w:pPr>
        <w:spacing w:line="560" w:lineRule="exact"/>
        <w:jc w:val="center"/>
      </w:pPr>
      <w:r>
        <w:rPr>
          <w:rFonts w:hint="eastAsia" w:ascii="黑体" w:hAnsi="宋体" w:eastAsia="黑体"/>
          <w:color w:val="000000"/>
          <w:kern w:val="0"/>
          <w:sz w:val="32"/>
          <w:szCs w:val="32"/>
        </w:rPr>
        <w:t>第一部分部门概况</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spacing w:line="560" w:lineRule="exact"/>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p>
    <w:p>
      <w:pPr>
        <w:spacing w:line="560" w:lineRule="exact"/>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spacing w:line="560" w:lineRule="exact"/>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spacing w:line="560" w:lineRule="exact"/>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spacing w:line="560" w:lineRule="exact"/>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十一、其他重要事项说明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p>
    <w:p>
      <w:pPr>
        <w:spacing w:line="560" w:lineRule="exact"/>
        <w:jc w:val="center"/>
        <w:rPr>
          <w:rFonts w:ascii="宋体" w:cs="宋体"/>
          <w:b/>
          <w:bCs/>
          <w:sz w:val="44"/>
          <w:szCs w:val="44"/>
        </w:rPr>
      </w:pPr>
      <w:r>
        <w:rPr>
          <w:rFonts w:hint="eastAsia" w:ascii="黑体" w:hAnsi="宋体" w:eastAsia="黑体"/>
          <w:color w:val="000000"/>
          <w:kern w:val="0"/>
          <w:sz w:val="32"/>
          <w:szCs w:val="32"/>
        </w:rPr>
        <w:t>第四部分专业名词解释</w:t>
      </w:r>
    </w:p>
    <w:p>
      <w:pPr>
        <w:rPr>
          <w:rFonts w:ascii="黑体" w:hAnsi="宋体" w:eastAsia="黑体"/>
          <w:color w:val="000000"/>
          <w:kern w:val="0"/>
          <w:sz w:val="44"/>
          <w:szCs w:val="44"/>
        </w:rPr>
      </w:pPr>
      <w:r>
        <w:rPr>
          <w:rFonts w:hint="eastAsia" w:ascii="黑体" w:hAnsi="宋体" w:eastAsia="黑体"/>
          <w:color w:val="000000"/>
          <w:kern w:val="0"/>
          <w:sz w:val="44"/>
          <w:szCs w:val="44"/>
        </w:rPr>
        <w:br w:type="page"/>
      </w:r>
    </w:p>
    <w:p>
      <w:pPr>
        <w:spacing w:afterLines="50" w:line="560" w:lineRule="exact"/>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第一部分部门概况</w:t>
      </w:r>
    </w:p>
    <w:p>
      <w:pPr>
        <w:spacing w:line="560" w:lineRule="exact"/>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spacing w:line="560"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spacing w:line="560" w:lineRule="exact"/>
        <w:ind w:firstLine="640" w:firstLineChars="200"/>
        <w:jc w:val="left"/>
      </w:pPr>
      <w:r>
        <w:rPr>
          <w:rFonts w:hint="eastAsia" w:ascii="仿宋" w:hAnsi="仿宋" w:eastAsia="仿宋" w:cs="仿宋"/>
          <w:color w:val="000000"/>
          <w:kern w:val="0"/>
          <w:sz w:val="32"/>
          <w:szCs w:val="32"/>
        </w:rPr>
        <w:t>1.</w:t>
      </w:r>
      <w:r>
        <w:rPr>
          <w:rFonts w:ascii="仿宋" w:hAnsi="仿宋" w:eastAsia="仿宋" w:cs="仿宋"/>
          <w:color w:val="000000"/>
          <w:kern w:val="0"/>
          <w:sz w:val="32"/>
          <w:szCs w:val="32"/>
        </w:rPr>
        <w:t>贯彻执行《行政许可法》和相关法律法规，落实行政审批制度改革政策,协调相关部门对区</w:t>
      </w:r>
      <w:r>
        <w:rPr>
          <w:rFonts w:hint="eastAsia" w:ascii="仿宋" w:hAnsi="仿宋" w:eastAsia="仿宋" w:cs="仿宋"/>
          <w:color w:val="000000"/>
          <w:kern w:val="0"/>
          <w:sz w:val="32"/>
          <w:szCs w:val="32"/>
        </w:rPr>
        <w:t xml:space="preserve">级行政许可(审批)事项和政务服务事项清单进行动态调整和承接，推动“放管服”改革工作。 </w:t>
      </w:r>
    </w:p>
    <w:p>
      <w:pPr>
        <w:spacing w:line="560" w:lineRule="exact"/>
        <w:ind w:firstLine="640" w:firstLineChars="200"/>
        <w:jc w:val="left"/>
      </w:pPr>
      <w:r>
        <w:rPr>
          <w:rFonts w:hint="eastAsia" w:ascii="仿宋" w:hAnsi="仿宋" w:eastAsia="仿宋" w:cs="仿宋"/>
          <w:color w:val="000000"/>
          <w:kern w:val="0"/>
          <w:sz w:val="32"/>
          <w:szCs w:val="32"/>
        </w:rPr>
        <w:t xml:space="preserve">2.负责集中办理投资项目、市场管理、社会事务、住建交通城管、生态环境、应急管理、农林水务等方面行政审批事项的办理和政务服务，组织有关部门进行踏勘验收、技术论证和社会听证工作，并对行为结果和行政性收费承担相应法律责任。 </w:t>
      </w:r>
    </w:p>
    <w:p>
      <w:pPr>
        <w:spacing w:line="560" w:lineRule="exact"/>
        <w:ind w:firstLine="640" w:firstLineChars="200"/>
        <w:jc w:val="left"/>
      </w:pPr>
      <w:r>
        <w:rPr>
          <w:rFonts w:hint="eastAsia" w:ascii="仿宋" w:hAnsi="仿宋" w:eastAsia="仿宋" w:cs="仿宋"/>
          <w:color w:val="000000"/>
          <w:kern w:val="0"/>
          <w:sz w:val="32"/>
          <w:szCs w:val="32"/>
        </w:rPr>
        <w:t xml:space="preserve">3.负责对行政审批、政务服务事项进行流程再造，环节优化、压缩时限，并对办理情况进行跟踪督办;协调有关部门解决行政审批、政务服务事项办理中存在的相关问题。 </w:t>
      </w:r>
    </w:p>
    <w:p>
      <w:pPr>
        <w:spacing w:line="560" w:lineRule="exact"/>
        <w:ind w:firstLine="640" w:firstLineChars="200"/>
        <w:jc w:val="left"/>
      </w:pPr>
      <w:r>
        <w:rPr>
          <w:rFonts w:hint="eastAsia" w:ascii="仿宋" w:hAnsi="仿宋" w:eastAsia="仿宋" w:cs="仿宋"/>
          <w:color w:val="000000"/>
          <w:kern w:val="0"/>
          <w:sz w:val="32"/>
          <w:szCs w:val="32"/>
        </w:rPr>
        <w:t xml:space="preserve">4.负贵网上办事大厅和实体大厅“线上线下”政务服务平台的建设和管理工作;负责中介服务机构办理事项的规范、管理和监督。 </w:t>
      </w:r>
    </w:p>
    <w:p>
      <w:pPr>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5.负责政务服务体系的信息化建设、网上审批和信息公开工作;与有关部门协同推进“一网通办”“只进一扇门”“最多跑一次”“零跑路”的政务服务体系建设工作。</w:t>
      </w:r>
    </w:p>
    <w:p>
      <w:pPr>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6.受理行政审批、政务服务、中介机构服务有关方面的投诉举报，协同有关部门查处违法违纪行为。</w:t>
      </w:r>
    </w:p>
    <w:p>
      <w:pPr>
        <w:spacing w:line="560" w:lineRule="exact"/>
        <w:ind w:firstLine="640" w:firstLineChars="200"/>
        <w:jc w:val="left"/>
      </w:pPr>
      <w:r>
        <w:rPr>
          <w:rFonts w:hint="eastAsia" w:ascii="仿宋" w:hAnsi="仿宋" w:eastAsia="仿宋" w:cs="仿宋"/>
          <w:color w:val="000000"/>
          <w:kern w:val="0"/>
          <w:sz w:val="32"/>
          <w:szCs w:val="32"/>
        </w:rPr>
        <w:t xml:space="preserve">7.指导下属事业单位便民服务相关工作。 </w:t>
      </w:r>
    </w:p>
    <w:p>
      <w:pPr>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8.完成区委、区政府交办的其他事项。 </w:t>
      </w:r>
    </w:p>
    <w:p>
      <w:pPr>
        <w:spacing w:line="560"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spacing w:line="560" w:lineRule="exact"/>
        <w:ind w:firstLine="640" w:firstLineChars="200"/>
        <w:jc w:val="left"/>
      </w:pPr>
      <w:r>
        <w:rPr>
          <w:rFonts w:hint="eastAsia" w:ascii="仿宋" w:hAnsi="仿宋" w:eastAsia="仿宋" w:cs="仿宋"/>
          <w:color w:val="000000"/>
          <w:kern w:val="0"/>
          <w:sz w:val="32"/>
          <w:szCs w:val="32"/>
        </w:rPr>
        <w:t>区行政审批局机关行政编制4名，设局长1名，副局长2名。下属政务服务中心，核定事业编制10人，其中主任1名（由审批局一名副局长兼任）。</w:t>
      </w:r>
    </w:p>
    <w:p>
      <w:pPr>
        <w:spacing w:line="560" w:lineRule="exact"/>
        <w:ind w:firstLine="640" w:firstLineChars="200"/>
        <w:jc w:val="left"/>
      </w:pPr>
      <w:r>
        <w:rPr>
          <w:rFonts w:hint="eastAsia" w:ascii="黑体" w:hAnsi="宋体" w:eastAsia="黑体"/>
          <w:color w:val="000000"/>
          <w:kern w:val="0"/>
          <w:sz w:val="32"/>
          <w:szCs w:val="32"/>
        </w:rPr>
        <w:t>二、部门决算单位构成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年本部门决算编制范围的单位共2个，包括本级及所属1个</w:t>
      </w:r>
      <w:r>
        <w:rPr>
          <w:rFonts w:hint="eastAsia"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278"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杨陵区政务服务中心</w:t>
            </w:r>
          </w:p>
        </w:tc>
      </w:tr>
    </w:tbl>
    <w:p>
      <w:pPr>
        <w:spacing w:line="560" w:lineRule="exact"/>
        <w:ind w:firstLine="640"/>
        <w:rPr>
          <w:rFonts w:ascii="黑体" w:hAnsi="黑体" w:eastAsia="黑体"/>
          <w:b/>
          <w:bCs/>
          <w:sz w:val="32"/>
          <w:szCs w:val="32"/>
        </w:rPr>
      </w:pPr>
      <w:r>
        <w:rPr>
          <w:rFonts w:hint="eastAsia" w:ascii="黑体" w:hAnsi="黑体" w:eastAsia="黑体"/>
          <w:b/>
          <w:bCs/>
          <w:sz w:val="32"/>
          <w:szCs w:val="32"/>
        </w:rPr>
        <w:t>三、部门人员情况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971550</wp:posOffset>
            </wp:positionH>
            <wp:positionV relativeFrom="paragraph">
              <wp:posOffset>71755</wp:posOffset>
            </wp:positionV>
            <wp:extent cx="3702050" cy="2401570"/>
            <wp:effectExtent l="5080" t="5080" r="13970" b="635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sz w:val="32"/>
          <w:szCs w:val="32"/>
        </w:rPr>
        <w:t>截止2019年底，本部门人员编制14人，其中行政编制4人、事业编制10人；实有人员11人，其中行政4人、事业7人。单位管理的离退休人员0人。</w:t>
      </w:r>
    </w:p>
    <w:p>
      <w:pPr>
        <w:spacing w:line="560" w:lineRule="exact"/>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8"/>
        <w:tblpPr w:leftFromText="180" w:rightFromText="180" w:vertAnchor="text" w:horzAnchor="page" w:tblpX="1494" w:tblpY="1507"/>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rPr>
                <w:rFonts w:asci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rPr>
                <w:rFonts w:asci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rPr>
                <w:rFonts w:asci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left"/>
              <w:rPr>
                <w:rFonts w:ascii="宋体" w:cs="宋体"/>
                <w:color w:val="000000"/>
                <w:kern w:val="0"/>
                <w:sz w:val="24"/>
              </w:rPr>
            </w:pPr>
            <w:r>
              <w:rPr>
                <w:rFonts w:hint="eastAsia" w:ascii="宋体" w:hAnsi="宋体" w:cs="宋体"/>
                <w:color w:val="000000"/>
                <w:kern w:val="0"/>
                <w:sz w:val="24"/>
              </w:rPr>
              <w:t>一般公共预算财政拨款支出决算表</w:t>
            </w:r>
          </w:p>
          <w:p>
            <w:pPr>
              <w:spacing w:line="340" w:lineRule="exact"/>
              <w:jc w:val="left"/>
              <w:rPr>
                <w:rFonts w:asci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left"/>
              <w:rPr>
                <w:rFonts w:ascii="宋体" w:cs="宋体"/>
                <w:color w:val="000000"/>
                <w:kern w:val="0"/>
                <w:sz w:val="24"/>
              </w:rPr>
            </w:pPr>
            <w:r>
              <w:rPr>
                <w:rFonts w:hint="eastAsia" w:ascii="宋体" w:hAnsi="宋体" w:cs="宋体"/>
                <w:color w:val="000000"/>
                <w:kern w:val="0"/>
                <w:sz w:val="24"/>
              </w:rPr>
              <w:t>一般公共预算财政拨款基本支出决算表（按经济分类科目）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340" w:lineRule="exact"/>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是</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340" w:lineRule="exact"/>
              <w:rPr>
                <w:rFonts w:ascii="宋体" w:cs="宋体"/>
                <w:color w:val="000000"/>
                <w:sz w:val="24"/>
              </w:rPr>
            </w:pPr>
            <w:r>
              <w:rPr>
                <w:rFonts w:hint="eastAsia" w:ascii="宋体" w:cs="宋体"/>
                <w:color w:val="000000"/>
                <w:sz w:val="24"/>
              </w:rPr>
              <w:t>本年无发生</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left"/>
              <w:rPr>
                <w:rFonts w:ascii="宋体" w:cs="宋体"/>
                <w:color w:val="000000"/>
                <w:kern w:val="0"/>
                <w:sz w:val="24"/>
              </w:rPr>
            </w:pPr>
            <w:r>
              <w:rPr>
                <w:rFonts w:hint="eastAsia" w:ascii="宋体" w:hAnsi="宋体" w:cs="宋体"/>
                <w:color w:val="000000"/>
                <w:kern w:val="0"/>
                <w:sz w:val="24"/>
              </w:rPr>
              <w:t>政府性基金预算财政拨款收入支出</w:t>
            </w:r>
          </w:p>
          <w:p>
            <w:pPr>
              <w:spacing w:line="340" w:lineRule="exact"/>
              <w:jc w:val="left"/>
              <w:rPr>
                <w:rFonts w:asci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r>
              <w:rPr>
                <w:rFonts w:hint="eastAsia" w:ascii="宋体" w:hAnsi="宋体" w:cs="宋体"/>
                <w:color w:val="000000"/>
                <w:sz w:val="24"/>
              </w:rPr>
              <w:t>无政府性基金</w:t>
            </w:r>
          </w:p>
        </w:tc>
      </w:tr>
    </w:tbl>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rPr>
          <w:rFonts w:ascii="宋体" w:cs="宋体"/>
          <w:b/>
          <w:bCs/>
          <w:sz w:val="32"/>
          <w:szCs w:val="32"/>
        </w:rPr>
      </w:pPr>
      <w:r>
        <w:rPr>
          <w:rFonts w:hint="eastAsia" w:ascii="宋体" w:hAnsi="宋体" w:cs="宋体"/>
          <w:b/>
          <w:bCs/>
          <w:sz w:val="32"/>
          <w:szCs w:val="32"/>
        </w:rPr>
        <w:t>收入支出决算总表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spacing w:line="340" w:lineRule="exact"/>
        <w:rPr>
          <w:rFonts w:ascii="宋体" w:cs="宋体"/>
          <w:b/>
          <w:bCs/>
          <w:szCs w:val="21"/>
        </w:rPr>
      </w:pPr>
      <w:r>
        <w:rPr>
          <w:rFonts w:hint="eastAsia" w:ascii="宋体" w:hAnsi="宋体" w:cs="宋体"/>
          <w:b/>
          <w:bCs/>
          <w:szCs w:val="21"/>
        </w:rPr>
        <w:t>编制部门：杨陵区行政审批服务局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收入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支出</w:t>
            </w:r>
          </w:p>
        </w:tc>
      </w:tr>
      <w:tr>
        <w:tblPrEx>
          <w:tblCellMar>
            <w:top w:w="15" w:type="dxa"/>
            <w:left w:w="15" w:type="dxa"/>
            <w:bottom w:w="15" w:type="dxa"/>
            <w:right w:w="15" w:type="dxa"/>
          </w:tblCellMar>
        </w:tblPrEx>
        <w:trPr>
          <w:trHeight w:val="263"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r>
              <w:rPr>
                <w:rFonts w:hint="eastAsia" w:ascii="宋体" w:cs="宋体"/>
                <w:color w:val="000000"/>
                <w:szCs w:val="21"/>
              </w:rPr>
              <w:t>82.62</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r>
              <w:rPr>
                <w:rFonts w:hint="eastAsia" w:ascii="宋体" w:cs="宋体"/>
                <w:color w:val="000000"/>
                <w:szCs w:val="21"/>
              </w:rPr>
              <w:t>92.70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spacing w:line="300" w:lineRule="exact"/>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spacing w:line="300" w:lineRule="exact"/>
              <w:jc w:val="right"/>
              <w:textAlignment w:val="center"/>
              <w:rPr>
                <w:rFonts w:ascii="宋体" w:cs="宋体"/>
                <w:color w:val="000000"/>
                <w:szCs w:val="21"/>
              </w:rPr>
            </w:pPr>
            <w:r>
              <w:rPr>
                <w:rFonts w:hint="eastAsia" w:ascii="宋体" w:cs="宋体"/>
                <w:color w:val="000000"/>
                <w:szCs w:val="21"/>
              </w:rPr>
              <w:t>10.09</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spacing w:line="300" w:lineRule="exact"/>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spacing w:line="300" w:lineRule="exact"/>
              <w:jc w:val="right"/>
              <w:textAlignment w:val="center"/>
              <w:rPr>
                <w:rFonts w:ascii="宋体" w:cs="宋体"/>
                <w:color w:val="000000"/>
                <w:szCs w:val="21"/>
              </w:rPr>
            </w:pPr>
            <w:r>
              <w:rPr>
                <w:rFonts w:hint="eastAsia" w:ascii="宋体" w:cs="宋体"/>
                <w:color w:val="000000"/>
                <w:szCs w:val="21"/>
              </w:rPr>
              <w:t>92.70</w:t>
            </w:r>
          </w:p>
        </w:tc>
        <w:tc>
          <w:tcPr>
            <w:tcW w:w="3090" w:type="dxa"/>
            <w:tcBorders>
              <w:top w:val="single" w:color="000000" w:sz="4" w:space="0"/>
              <w:left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spacing w:line="300" w:lineRule="exact"/>
              <w:jc w:val="right"/>
              <w:rPr>
                <w:rFonts w:ascii="宋体" w:cs="宋体"/>
                <w:b/>
                <w:color w:val="000000"/>
                <w:szCs w:val="21"/>
              </w:rPr>
            </w:pPr>
            <w:r>
              <w:rPr>
                <w:rFonts w:hint="eastAsia" w:ascii="宋体" w:cs="宋体"/>
                <w:b/>
                <w:color w:val="000000"/>
                <w:szCs w:val="21"/>
              </w:rPr>
              <w:t>92.70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Cs/>
                <w:color w:val="000000"/>
                <w:szCs w:val="21"/>
              </w:rPr>
            </w:pPr>
            <w:r>
              <w:rPr>
                <w:rFonts w:hint="eastAsia" w:ascii="宋体" w:hAnsi="宋体" w:cs="宋体"/>
                <w:bCs/>
                <w:color w:val="000000"/>
                <w:kern w:val="0"/>
                <w:szCs w:val="21"/>
              </w:rPr>
              <w:t>结余分配</w:t>
            </w:r>
          </w:p>
        </w:tc>
        <w:tc>
          <w:tcPr>
            <w:tcW w:w="1326" w:type="dxa"/>
            <w:tcBorders>
              <w:top w:val="single" w:color="000000" w:sz="4" w:space="0"/>
              <w:left w:val="single" w:color="000000" w:sz="4" w:space="0"/>
              <w:bottom w:val="single" w:color="000000" w:sz="4" w:space="0"/>
              <w:right w:val="single" w:color="000000" w:sz="4" w:space="0"/>
            </w:tcBorders>
            <w:vAlign w:val="bottom"/>
          </w:tcPr>
          <w:p>
            <w:pPr>
              <w:spacing w:line="300" w:lineRule="exact"/>
              <w:jc w:val="right"/>
              <w:rPr>
                <w:rFonts w:asci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r>
              <w:rPr>
                <w:rFonts w:hint="eastAsia" w:ascii="宋体" w:cs="宋体"/>
                <w:color w:val="000000"/>
                <w:szCs w:val="21"/>
              </w:rPr>
              <w:t>92.70</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b/>
                <w:color w:val="000000"/>
                <w:szCs w:val="21"/>
              </w:rPr>
            </w:pPr>
            <w:r>
              <w:rPr>
                <w:rFonts w:hint="eastAsia" w:ascii="宋体" w:cs="宋体"/>
                <w:b/>
                <w:color w:val="000000"/>
                <w:szCs w:val="21"/>
              </w:rPr>
              <w:t>92.70</w:t>
            </w:r>
          </w:p>
        </w:tc>
      </w:tr>
    </w:tbl>
    <w:p>
      <w:pPr>
        <w:spacing w:line="400" w:lineRule="exact"/>
        <w:jc w:val="left"/>
        <w:rPr>
          <w:rFonts w:ascii="宋体" w:hAnsi="宋体" w:cs="宋体"/>
          <w:color w:val="000000"/>
          <w:kern w:val="0"/>
          <w:szCs w:val="21"/>
        </w:rPr>
      </w:pPr>
      <w:r>
        <w:rPr>
          <w:rFonts w:hint="eastAsia" w:ascii="宋体" w:hAnsi="宋体" w:cs="宋体"/>
          <w:color w:val="000000"/>
          <w:kern w:val="0"/>
          <w:szCs w:val="21"/>
        </w:rPr>
        <w:t>注：本表反映部门本年度的总收支和年末结转结余情况。本表金额转换为万元时，因四舍五入可能存在尾差。</w:t>
      </w:r>
    </w:p>
    <w:p>
      <w:pPr>
        <w:spacing w:line="560" w:lineRule="exact"/>
        <w:jc w:val="center"/>
        <w:rPr>
          <w:rFonts w:ascii="宋体" w:cs="宋体"/>
          <w:b/>
          <w:bCs/>
          <w:sz w:val="32"/>
          <w:szCs w:val="32"/>
        </w:rPr>
      </w:pPr>
      <w:r>
        <w:rPr>
          <w:rFonts w:hint="eastAsia" w:ascii="宋体" w:hAnsi="宋体" w:cs="宋体"/>
          <w:b/>
          <w:bCs/>
          <w:sz w:val="32"/>
          <w:szCs w:val="32"/>
        </w:rPr>
        <w:t>收入决算表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spacing w:line="340" w:lineRule="exact"/>
        <w:rPr>
          <w:rFonts w:ascii="宋体" w:cs="宋体"/>
          <w:b/>
          <w:bCs/>
          <w:sz w:val="48"/>
          <w:szCs w:val="48"/>
        </w:rPr>
      </w:pPr>
      <w:r>
        <w:rPr>
          <w:rFonts w:hint="eastAsia" w:ascii="宋体" w:hAnsi="宋体" w:cs="宋体"/>
          <w:b/>
          <w:bCs/>
          <w:szCs w:val="21"/>
        </w:rPr>
        <w:t>编制部门：杨陵区行政审批服务局                                        金额单位：万元</w:t>
      </w:r>
    </w:p>
    <w:tbl>
      <w:tblPr>
        <w:tblStyle w:val="8"/>
        <w:tblW w:w="9480" w:type="dxa"/>
        <w:jc w:val="center"/>
        <w:tblLayout w:type="fixed"/>
        <w:tblCellMar>
          <w:top w:w="15" w:type="dxa"/>
          <w:left w:w="15" w:type="dxa"/>
          <w:bottom w:w="15" w:type="dxa"/>
          <w:right w:w="15" w:type="dxa"/>
        </w:tblCellMar>
      </w:tblPr>
      <w:tblGrid>
        <w:gridCol w:w="880"/>
        <w:gridCol w:w="2270"/>
        <w:gridCol w:w="900"/>
        <w:gridCol w:w="760"/>
        <w:gridCol w:w="610"/>
        <w:gridCol w:w="590"/>
        <w:gridCol w:w="820"/>
        <w:gridCol w:w="800"/>
        <w:gridCol w:w="970"/>
        <w:gridCol w:w="880"/>
      </w:tblGrid>
      <w:tr>
        <w:tblPrEx>
          <w:tblCellMar>
            <w:top w:w="15" w:type="dxa"/>
            <w:left w:w="15" w:type="dxa"/>
            <w:bottom w:w="15" w:type="dxa"/>
            <w:right w:w="15" w:type="dxa"/>
          </w:tblCellMar>
        </w:tblPrEx>
        <w:trPr>
          <w:trHeight w:val="439" w:hRule="atLeast"/>
          <w:jc w:val="center"/>
        </w:trPr>
        <w:tc>
          <w:tcPr>
            <w:tcW w:w="315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61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7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jc w:val="center"/>
        </w:trPr>
        <w:tc>
          <w:tcPr>
            <w:tcW w:w="880" w:type="dxa"/>
            <w:tcBorders>
              <w:top w:val="single" w:color="000000" w:sz="4" w:space="0"/>
              <w:left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2270" w:type="dxa"/>
            <w:tcBorders>
              <w:top w:val="single" w:color="000000" w:sz="4" w:space="0"/>
              <w:left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科目</w:t>
            </w:r>
          </w:p>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名称</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r>
              <w:rPr>
                <w:rFonts w:hint="eastAsia" w:ascii="宋体" w:hAnsi="宋体" w:cs="宋体"/>
                <w:b/>
                <w:color w:val="000000"/>
                <w:szCs w:val="21"/>
              </w:rPr>
              <w:t>小计</w:t>
            </w: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r>
              <w:rPr>
                <w:rFonts w:hint="eastAsia" w:ascii="宋体" w:hAnsi="宋体" w:cs="宋体"/>
                <w:b/>
                <w:color w:val="000000"/>
                <w:szCs w:val="21"/>
              </w:rPr>
              <w:t>其中：教育收费</w:t>
            </w: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39" w:hRule="atLeast"/>
          <w:jc w:val="center"/>
        </w:trPr>
        <w:tc>
          <w:tcPr>
            <w:tcW w:w="315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color w:val="000000"/>
                <w:szCs w:val="21"/>
              </w:rPr>
            </w:pPr>
            <w:r>
              <w:rPr>
                <w:rFonts w:hint="eastAsia" w:ascii="宋体" w:hAnsi="宋体" w:cs="宋体"/>
                <w:b/>
                <w:bCs/>
                <w:color w:val="000000"/>
                <w:kern w:val="0"/>
                <w:szCs w:val="21"/>
              </w:rPr>
              <w:t>合计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92.70</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82.62</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10.09</w:t>
            </w:r>
          </w:p>
        </w:tc>
      </w:tr>
      <w:tr>
        <w:tblPrEx>
          <w:tblCellMar>
            <w:top w:w="15" w:type="dxa"/>
            <w:left w:w="15" w:type="dxa"/>
            <w:bottom w:w="15" w:type="dxa"/>
            <w:right w:w="15" w:type="dxa"/>
          </w:tblCellMar>
        </w:tblPrEx>
        <w:trPr>
          <w:trHeight w:val="43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201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一般公共服务支出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92.70</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82.62</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10.09</w:t>
            </w:r>
          </w:p>
        </w:tc>
      </w:tr>
      <w:tr>
        <w:tblPrEx>
          <w:tblCellMar>
            <w:top w:w="15" w:type="dxa"/>
            <w:left w:w="15" w:type="dxa"/>
            <w:bottom w:w="15" w:type="dxa"/>
            <w:right w:w="15" w:type="dxa"/>
          </w:tblCellMar>
        </w:tblPrEx>
        <w:trPr>
          <w:trHeight w:val="43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20103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政府办公厅（室）及相关机构事务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92.70</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82.62</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10.09</w:t>
            </w:r>
          </w:p>
        </w:tc>
      </w:tr>
      <w:tr>
        <w:tblPrEx>
          <w:tblCellMar>
            <w:top w:w="15" w:type="dxa"/>
            <w:left w:w="15" w:type="dxa"/>
            <w:bottom w:w="15" w:type="dxa"/>
            <w:right w:w="15" w:type="dxa"/>
          </w:tblCellMar>
        </w:tblPrEx>
        <w:trPr>
          <w:trHeight w:val="43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2010301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行政运行</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28.15</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28.15</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2010350</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事业运行</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54.47</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54.47</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2010399</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其他政府办公厅（室）及相关机构事务支出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10.09</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10.09</w:t>
            </w:r>
          </w:p>
        </w:tc>
      </w:tr>
      <w:tr>
        <w:tblPrEx>
          <w:tblCellMar>
            <w:top w:w="15" w:type="dxa"/>
            <w:left w:w="15" w:type="dxa"/>
            <w:bottom w:w="15" w:type="dxa"/>
            <w:right w:w="15" w:type="dxa"/>
          </w:tblCellMar>
        </w:tblPrEx>
        <w:trPr>
          <w:trHeight w:val="44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bl>
    <w:p>
      <w:pPr>
        <w:spacing w:line="560" w:lineRule="exact"/>
        <w:jc w:val="left"/>
        <w:rPr>
          <w:rFonts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rPr>
          <w:rFonts w:ascii="宋体" w:hAnsi="宋体" w:cs="宋体"/>
          <w:color w:val="000000"/>
          <w:kern w:val="0"/>
          <w:szCs w:val="21"/>
        </w:rPr>
      </w:pPr>
      <w:r>
        <w:rPr>
          <w:rFonts w:hint="eastAsia" w:ascii="宋体" w:hAnsi="宋体" w:cs="宋体"/>
          <w:color w:val="000000"/>
          <w:kern w:val="0"/>
          <w:szCs w:val="21"/>
        </w:rPr>
        <w:br w:type="page"/>
      </w:r>
    </w:p>
    <w:p>
      <w:pPr>
        <w:spacing w:line="560" w:lineRule="exact"/>
        <w:jc w:val="center"/>
        <w:rPr>
          <w:rFonts w:ascii="宋体" w:cs="宋体"/>
          <w:b/>
          <w:bCs/>
          <w:sz w:val="32"/>
          <w:szCs w:val="32"/>
        </w:rPr>
      </w:pPr>
      <w:r>
        <w:rPr>
          <w:rFonts w:hint="eastAsia" w:ascii="宋体" w:hAnsi="宋体" w:cs="宋体"/>
          <w:b/>
          <w:bCs/>
          <w:sz w:val="32"/>
          <w:szCs w:val="32"/>
        </w:rPr>
        <w:t>支出决算表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3表</w:t>
      </w:r>
    </w:p>
    <w:p>
      <w:pPr>
        <w:spacing w:line="340" w:lineRule="exact"/>
        <w:rPr>
          <w:rFonts w:ascii="宋体" w:cs="宋体"/>
          <w:b/>
          <w:bCs/>
          <w:sz w:val="48"/>
          <w:szCs w:val="48"/>
        </w:rPr>
      </w:pPr>
      <w:r>
        <w:rPr>
          <w:rFonts w:hint="eastAsia" w:ascii="宋体" w:hAnsi="宋体" w:cs="宋体"/>
          <w:b/>
          <w:bCs/>
          <w:szCs w:val="21"/>
        </w:rPr>
        <w:t>编制部门：杨陵区行政审批服务局                                        金额单位：万元</w:t>
      </w:r>
    </w:p>
    <w:tbl>
      <w:tblPr>
        <w:tblStyle w:val="8"/>
        <w:tblW w:w="8896" w:type="dxa"/>
        <w:jc w:val="center"/>
        <w:tblLayout w:type="fixed"/>
        <w:tblCellMar>
          <w:top w:w="15" w:type="dxa"/>
          <w:left w:w="15" w:type="dxa"/>
          <w:bottom w:w="15" w:type="dxa"/>
          <w:right w:w="15" w:type="dxa"/>
        </w:tblCellMar>
      </w:tblPr>
      <w:tblGrid>
        <w:gridCol w:w="914"/>
        <w:gridCol w:w="83"/>
        <w:gridCol w:w="2047"/>
        <w:gridCol w:w="1030"/>
        <w:gridCol w:w="900"/>
        <w:gridCol w:w="910"/>
        <w:gridCol w:w="940"/>
        <w:gridCol w:w="727"/>
        <w:gridCol w:w="1345"/>
      </w:tblGrid>
      <w:tr>
        <w:tblPrEx>
          <w:tblCellMar>
            <w:top w:w="15" w:type="dxa"/>
            <w:left w:w="15" w:type="dxa"/>
            <w:bottom w:w="15" w:type="dxa"/>
            <w:right w:w="15" w:type="dxa"/>
          </w:tblCellMar>
        </w:tblPrEx>
        <w:trPr>
          <w:trHeight w:val="372" w:hRule="atLeast"/>
          <w:jc w:val="center"/>
        </w:trPr>
        <w:tc>
          <w:tcPr>
            <w:tcW w:w="3044" w:type="dxa"/>
            <w:gridSpan w:val="3"/>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91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94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经营</w:t>
            </w:r>
          </w:p>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jc w:val="center"/>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1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372" w:hRule="atLeast"/>
          <w:jc w:val="center"/>
        </w:trPr>
        <w:tc>
          <w:tcPr>
            <w:tcW w:w="3044" w:type="dxa"/>
            <w:gridSpan w:val="3"/>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92.70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10.09</w:t>
            </w: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7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黑体" w:hAnsi="宋体" w:eastAsia="黑体"/>
                <w:color w:val="000000"/>
                <w:kern w:val="0"/>
                <w:sz w:val="44"/>
                <w:szCs w:val="44"/>
              </w:rPr>
            </w:pPr>
            <w:r>
              <w:rPr>
                <w:rFonts w:hint="eastAsia" w:ascii="宋体" w:hAnsi="宋体" w:cs="宋体"/>
                <w:color w:val="000000"/>
                <w:kern w:val="0"/>
                <w:sz w:val="22"/>
                <w:szCs w:val="22"/>
              </w:rPr>
              <w:t>201</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pPr>
            <w:r>
              <w:rPr>
                <w:rFonts w:hint="eastAsia" w:ascii="宋体" w:hAnsi="宋体" w:cs="宋体"/>
                <w:color w:val="000000"/>
                <w:kern w:val="0"/>
                <w:sz w:val="22"/>
                <w:szCs w:val="22"/>
              </w:rPr>
              <w:t>一般公共服务支出</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92.70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82.62</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10.09</w:t>
            </w: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r>
      <w:tr>
        <w:tblPrEx>
          <w:tblCellMar>
            <w:top w:w="15" w:type="dxa"/>
            <w:left w:w="15" w:type="dxa"/>
            <w:bottom w:w="15" w:type="dxa"/>
            <w:right w:w="15" w:type="dxa"/>
          </w:tblCellMar>
        </w:tblPrEx>
        <w:trPr>
          <w:trHeight w:val="37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黑体" w:hAnsi="宋体" w:eastAsia="黑体"/>
                <w:color w:val="000000"/>
                <w:kern w:val="0"/>
                <w:sz w:val="44"/>
                <w:szCs w:val="44"/>
              </w:rPr>
            </w:pPr>
            <w:r>
              <w:rPr>
                <w:rFonts w:hint="eastAsia" w:ascii="宋体" w:hAnsi="宋体" w:cs="宋体"/>
                <w:color w:val="000000"/>
                <w:kern w:val="0"/>
                <w:sz w:val="22"/>
                <w:szCs w:val="22"/>
              </w:rPr>
              <w:t>20103</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pPr>
            <w:r>
              <w:rPr>
                <w:rFonts w:hint="eastAsia" w:ascii="宋体" w:hAnsi="宋体" w:cs="宋体"/>
                <w:color w:val="000000"/>
                <w:kern w:val="0"/>
                <w:sz w:val="22"/>
                <w:szCs w:val="22"/>
              </w:rPr>
              <w:t>政府办公厅（室）及相关机构事务</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92.70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82.62</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10.09</w:t>
            </w: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r>
      <w:tr>
        <w:tblPrEx>
          <w:tblCellMar>
            <w:top w:w="15" w:type="dxa"/>
            <w:left w:w="15" w:type="dxa"/>
            <w:bottom w:w="15" w:type="dxa"/>
            <w:right w:w="15" w:type="dxa"/>
          </w:tblCellMar>
        </w:tblPrEx>
        <w:trPr>
          <w:trHeight w:val="37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黑体" w:hAnsi="宋体" w:eastAsia="黑体"/>
                <w:color w:val="000000"/>
                <w:kern w:val="0"/>
                <w:sz w:val="44"/>
                <w:szCs w:val="44"/>
              </w:rPr>
            </w:pPr>
            <w:r>
              <w:rPr>
                <w:rFonts w:hint="eastAsia" w:ascii="宋体" w:hAnsi="宋体" w:cs="宋体"/>
                <w:color w:val="000000"/>
                <w:kern w:val="0"/>
                <w:sz w:val="22"/>
                <w:szCs w:val="22"/>
              </w:rPr>
              <w:t>2010301</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pPr>
            <w:r>
              <w:rPr>
                <w:rFonts w:hint="eastAsia" w:ascii="宋体" w:hAnsi="宋体" w:cs="宋体"/>
                <w:color w:val="000000"/>
                <w:kern w:val="0"/>
                <w:sz w:val="22"/>
                <w:szCs w:val="22"/>
              </w:rPr>
              <w:t xml:space="preserve">  行政运行</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28.15</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28.15</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r>
      <w:tr>
        <w:tblPrEx>
          <w:tblCellMar>
            <w:top w:w="15" w:type="dxa"/>
            <w:left w:w="15" w:type="dxa"/>
            <w:bottom w:w="15" w:type="dxa"/>
            <w:right w:w="15" w:type="dxa"/>
          </w:tblCellMar>
        </w:tblPrEx>
        <w:trPr>
          <w:trHeight w:val="37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黑体" w:hAnsi="宋体" w:eastAsia="黑体"/>
                <w:color w:val="000000"/>
                <w:kern w:val="0"/>
                <w:sz w:val="44"/>
                <w:szCs w:val="44"/>
              </w:rPr>
            </w:pPr>
            <w:r>
              <w:rPr>
                <w:rFonts w:hint="eastAsia" w:ascii="宋体" w:hAnsi="宋体" w:cs="宋体"/>
                <w:color w:val="000000"/>
                <w:kern w:val="0"/>
                <w:sz w:val="22"/>
                <w:szCs w:val="22"/>
              </w:rPr>
              <w:t>2010350</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pPr>
            <w:r>
              <w:rPr>
                <w:rFonts w:hint="eastAsia" w:ascii="宋体" w:hAnsi="宋体" w:cs="宋体"/>
                <w:color w:val="000000"/>
                <w:kern w:val="0"/>
                <w:sz w:val="22"/>
                <w:szCs w:val="22"/>
              </w:rPr>
              <w:t xml:space="preserve">  事业运行</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54.47</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54.47</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r>
      <w:tr>
        <w:tblPrEx>
          <w:tblCellMar>
            <w:top w:w="15" w:type="dxa"/>
            <w:left w:w="15" w:type="dxa"/>
            <w:bottom w:w="15" w:type="dxa"/>
            <w:right w:w="15" w:type="dxa"/>
          </w:tblCellMar>
        </w:tblPrEx>
        <w:trPr>
          <w:trHeight w:val="37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hAnsi="宋体" w:cs="宋体"/>
                <w:color w:val="000000"/>
                <w:kern w:val="0"/>
                <w:sz w:val="22"/>
                <w:szCs w:val="22"/>
              </w:rPr>
            </w:pPr>
            <w:r>
              <w:rPr>
                <w:rFonts w:hint="eastAsia" w:ascii="宋体" w:cs="宋体"/>
                <w:color w:val="000000"/>
                <w:szCs w:val="21"/>
              </w:rPr>
              <w:t>2010399</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hAnsi="宋体" w:cs="宋体"/>
                <w:color w:val="000000"/>
                <w:kern w:val="0"/>
                <w:sz w:val="22"/>
                <w:szCs w:val="22"/>
              </w:rPr>
            </w:pPr>
            <w:r>
              <w:rPr>
                <w:rFonts w:hint="eastAsia" w:ascii="宋体" w:cs="宋体"/>
                <w:color w:val="000000"/>
                <w:szCs w:val="21"/>
              </w:rPr>
              <w:t>其他政府办公厅（室）及相关机构事务支出</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10.09</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10.09</w:t>
            </w: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r>
    </w:tbl>
    <w:p>
      <w:pPr>
        <w:spacing w:line="560" w:lineRule="exact"/>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spacing w:line="560" w:lineRule="exact"/>
        <w:jc w:val="center"/>
        <w:rPr>
          <w:rFonts w:ascii="宋体" w:cs="宋体"/>
          <w:b/>
          <w:bCs/>
          <w:sz w:val="32"/>
          <w:szCs w:val="32"/>
        </w:rPr>
      </w:pPr>
      <w:r>
        <w:rPr>
          <w:rFonts w:hint="eastAsia" w:ascii="宋体" w:hAnsi="宋体" w:cs="宋体"/>
          <w:b/>
          <w:bCs/>
          <w:sz w:val="32"/>
          <w:szCs w:val="32"/>
        </w:rPr>
        <w:t>财政拨款收入支出决算总表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4表</w:t>
      </w:r>
    </w:p>
    <w:p>
      <w:pPr>
        <w:spacing w:line="340" w:lineRule="exact"/>
        <w:rPr>
          <w:rFonts w:ascii="宋体" w:hAnsi="宋体" w:cs="宋体"/>
          <w:b/>
          <w:bCs/>
          <w:szCs w:val="21"/>
        </w:rPr>
      </w:pPr>
      <w:r>
        <w:rPr>
          <w:rFonts w:hint="eastAsia" w:ascii="宋体" w:hAnsi="宋体" w:cs="宋体"/>
          <w:b/>
          <w:bCs/>
          <w:szCs w:val="21"/>
        </w:rPr>
        <w:t>编制部门：杨陵区行政审批服务局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szCs w:val="21"/>
              </w:rPr>
            </w:pPr>
          </w:p>
        </w:tc>
      </w:tr>
    </w:tbl>
    <w:p>
      <w:pPr>
        <w:spacing w:line="560" w:lineRule="exact"/>
        <w:jc w:val="center"/>
        <w:rPr>
          <w:rFonts w:ascii="宋体" w:cs="宋体"/>
          <w:b/>
          <w:bCs/>
          <w:sz w:val="32"/>
          <w:szCs w:val="32"/>
        </w:rPr>
      </w:pPr>
      <w:r>
        <w:rPr>
          <w:rFonts w:hint="eastAsia" w:ascii="宋体" w:hAnsi="宋体" w:cs="宋体"/>
          <w:b/>
          <w:bCs/>
          <w:sz w:val="32"/>
          <w:szCs w:val="32"/>
        </w:rPr>
        <w:t>财政拨款收入支出决算总表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4表</w:t>
      </w:r>
    </w:p>
    <w:p>
      <w:pPr>
        <w:spacing w:line="340" w:lineRule="exact"/>
        <w:rPr>
          <w:rFonts w:ascii="宋体" w:hAnsi="宋体" w:cs="宋体"/>
          <w:b/>
          <w:bCs/>
          <w:szCs w:val="21"/>
        </w:rPr>
      </w:pPr>
      <w:r>
        <w:rPr>
          <w:rFonts w:hint="eastAsia" w:ascii="宋体" w:hAnsi="宋体" w:cs="宋体"/>
          <w:b/>
          <w:bCs/>
          <w:szCs w:val="21"/>
        </w:rPr>
        <w:t>编制部门：杨陵区行政审批服务局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48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50"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b/>
                <w:bCs/>
                <w:color w:val="000000"/>
                <w:szCs w:val="21"/>
              </w:rPr>
              <w:t>82.62</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r>
              <w:rPr>
                <w:rFonts w:hint="eastAsia" w:ascii="宋体" w:cs="宋体"/>
                <w:b/>
                <w:color w:val="000000"/>
                <w:kern w:val="0"/>
                <w:szCs w:val="21"/>
              </w:rPr>
              <w:t>82.62</w:t>
            </w: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r>
              <w:rPr>
                <w:rFonts w:hint="eastAsia" w:ascii="宋体" w:cs="宋体"/>
                <w:b/>
                <w:color w:val="000000"/>
                <w:kern w:val="0"/>
                <w:szCs w:val="21"/>
              </w:rPr>
              <w:t>82.62</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r>
              <w:rPr>
                <w:rFonts w:hint="eastAsia" w:ascii="宋体" w:cs="宋体"/>
                <w:b/>
                <w:color w:val="000000"/>
                <w:kern w:val="0"/>
                <w:szCs w:val="21"/>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spacing w:line="340" w:lineRule="exact"/>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kern w:val="0"/>
                <w:szCs w:val="21"/>
              </w:rPr>
            </w:pPr>
            <w:r>
              <w:rPr>
                <w:rFonts w:hint="eastAsia" w:ascii="宋体" w:hAnsi="宋体" w:cs="宋体"/>
                <w:color w:val="000000"/>
                <w:kern w:val="0"/>
                <w:szCs w:val="21"/>
              </w:rPr>
              <w:t>一、一般公共预</w:t>
            </w:r>
          </w:p>
          <w:p>
            <w:pPr>
              <w:spacing w:line="340" w:lineRule="exact"/>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kern w:val="0"/>
                <w:szCs w:val="21"/>
              </w:rPr>
            </w:pPr>
            <w:r>
              <w:rPr>
                <w:rFonts w:hint="eastAsia" w:ascii="宋体" w:hAnsi="宋体" w:cs="宋体"/>
                <w:color w:val="000000"/>
                <w:kern w:val="0"/>
                <w:szCs w:val="21"/>
              </w:rPr>
              <w:t>二、政府性基金预</w:t>
            </w:r>
          </w:p>
          <w:p>
            <w:pPr>
              <w:spacing w:line="340" w:lineRule="exact"/>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82.62</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kern w:val="0"/>
                <w:szCs w:val="21"/>
              </w:rPr>
            </w:pPr>
            <w:r>
              <w:rPr>
                <w:rFonts w:hint="eastAsia" w:ascii="宋体" w:hAnsi="宋体" w:cs="宋体"/>
                <w:b/>
                <w:bCs/>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bCs/>
                <w:color w:val="000000"/>
                <w:kern w:val="0"/>
                <w:szCs w:val="21"/>
              </w:rPr>
            </w:pPr>
            <w:r>
              <w:rPr>
                <w:rFonts w:hint="eastAsia" w:ascii="宋体" w:cs="宋体"/>
                <w:b/>
                <w:bCs/>
                <w:color w:val="000000"/>
                <w:kern w:val="0"/>
                <w:szCs w:val="21"/>
              </w:rPr>
              <w:t>82.62</w:t>
            </w: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bCs/>
                <w:color w:val="000000"/>
                <w:kern w:val="0"/>
                <w:szCs w:val="21"/>
              </w:rPr>
            </w:pPr>
            <w:r>
              <w:rPr>
                <w:rFonts w:hint="eastAsia" w:ascii="宋体" w:cs="宋体"/>
                <w:b/>
                <w:bCs/>
                <w:color w:val="000000"/>
                <w:kern w:val="0"/>
                <w:szCs w:val="21"/>
              </w:rPr>
              <w:t>82.62</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bCs/>
                <w:color w:val="000000"/>
                <w:kern w:val="0"/>
                <w:szCs w:val="21"/>
              </w:rPr>
            </w:pPr>
            <w:r>
              <w:rPr>
                <w:rFonts w:hint="eastAsia" w:ascii="宋体" w:cs="宋体"/>
                <w:b/>
                <w:bCs/>
                <w:color w:val="000000"/>
                <w:kern w:val="0"/>
                <w:szCs w:val="21"/>
              </w:rPr>
              <w:t>0.00</w:t>
            </w:r>
          </w:p>
        </w:tc>
      </w:tr>
    </w:tbl>
    <w:p>
      <w:pPr>
        <w:spacing w:line="560" w:lineRule="exact"/>
        <w:rPr>
          <w:rFonts w:ascii="宋体" w:cs="宋体"/>
          <w:szCs w:val="21"/>
        </w:rPr>
      </w:pPr>
    </w:p>
    <w:p>
      <w:pPr>
        <w:spacing w:line="400" w:lineRule="exact"/>
        <w:jc w:val="left"/>
        <w:rPr>
          <w:rFonts w:ascii="宋体" w:hAnsi="宋体" w:cs="宋体"/>
          <w:color w:val="000000"/>
          <w:kern w:val="0"/>
          <w:szCs w:val="21"/>
        </w:rPr>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宋体" w:hAnsi="宋体" w:cs="宋体"/>
          <w:color w:val="000000"/>
          <w:kern w:val="0"/>
          <w:szCs w:val="21"/>
        </w:rPr>
      </w:pPr>
      <w:r>
        <w:rPr>
          <w:rFonts w:hint="eastAsia" w:ascii="宋体" w:hAnsi="宋体" w:cs="宋体"/>
          <w:color w:val="000000"/>
          <w:kern w:val="0"/>
          <w:szCs w:val="21"/>
        </w:rPr>
        <w:br w:type="page"/>
      </w:r>
    </w:p>
    <w:p>
      <w:pPr>
        <w:spacing w:line="560" w:lineRule="exact"/>
        <w:jc w:val="center"/>
        <w:rPr>
          <w:rFonts w:ascii="宋体" w:cs="宋体"/>
          <w:b/>
          <w:bCs/>
          <w:sz w:val="32"/>
          <w:szCs w:val="32"/>
        </w:rPr>
      </w:pPr>
      <w:r>
        <w:rPr>
          <w:rFonts w:hint="eastAsia" w:ascii="宋体" w:hAnsi="宋体" w:cs="宋体"/>
          <w:b/>
          <w:bCs/>
          <w:sz w:val="32"/>
          <w:szCs w:val="32"/>
        </w:rPr>
        <w:t>一般公共预算财政拨款支出决算表（按功能分类科目）</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5表</w:t>
      </w:r>
    </w:p>
    <w:p>
      <w:pPr>
        <w:spacing w:line="340" w:lineRule="exact"/>
        <w:rPr>
          <w:rFonts w:ascii="宋体" w:hAnsi="宋体" w:cs="宋体"/>
          <w:b/>
          <w:bCs/>
          <w:szCs w:val="21"/>
        </w:rPr>
      </w:pPr>
      <w:r>
        <w:rPr>
          <w:rFonts w:hint="eastAsia" w:ascii="宋体" w:hAnsi="宋体" w:cs="宋体"/>
          <w:b/>
          <w:bCs/>
          <w:szCs w:val="21"/>
        </w:rPr>
        <w:t>编制部门：杨陵区行政审批服务局                                        金额单位：万元</w:t>
      </w:r>
    </w:p>
    <w:tbl>
      <w:tblPr>
        <w:tblStyle w:val="8"/>
        <w:tblW w:w="8777" w:type="dxa"/>
        <w:tblInd w:w="0" w:type="dxa"/>
        <w:tblLayout w:type="fixed"/>
        <w:tblCellMar>
          <w:top w:w="15" w:type="dxa"/>
          <w:left w:w="15" w:type="dxa"/>
          <w:bottom w:w="15" w:type="dxa"/>
          <w:right w:w="15" w:type="dxa"/>
        </w:tblCellMar>
      </w:tblPr>
      <w:tblGrid>
        <w:gridCol w:w="924"/>
        <w:gridCol w:w="1783"/>
        <w:gridCol w:w="987"/>
        <w:gridCol w:w="870"/>
        <w:gridCol w:w="1030"/>
        <w:gridCol w:w="1050"/>
        <w:gridCol w:w="1083"/>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950" w:type="dxa"/>
            <w:gridSpan w:val="3"/>
            <w:tcBorders>
              <w:top w:val="single" w:color="000000" w:sz="4" w:space="0"/>
              <w:left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83"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83"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color w:val="000000"/>
                <w:szCs w:val="21"/>
              </w:rPr>
            </w:pPr>
            <w:r>
              <w:rPr>
                <w:rFonts w:hint="eastAsia" w:ascii="宋体" w:hAnsi="宋体" w:cs="宋体"/>
                <w:b/>
                <w:bCs/>
                <w:color w:val="000000"/>
                <w:kern w:val="0"/>
                <w:szCs w:val="21"/>
              </w:rPr>
              <w:t>合计</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82.62</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79.42</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3.20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201</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一般公共服务支出</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hAnsi="宋体" w:cs="宋体"/>
                <w:color w:val="000000"/>
                <w:sz w:val="22"/>
                <w:szCs w:val="22"/>
              </w:rPr>
              <w:t>82.62</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79.42</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3.20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20103</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政府办公厅（室）及相关机构事务</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hAnsi="宋体" w:cs="宋体"/>
                <w:color w:val="000000"/>
                <w:sz w:val="22"/>
                <w:szCs w:val="22"/>
              </w:rPr>
              <w:t>82.62</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79.42</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3.20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2010301</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行政运行</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28.15</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28.15</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24.95</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3.20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2010350</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事业运行</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54.47</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54.47</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54.47</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bl>
    <w:p>
      <w:pPr>
        <w:spacing w:line="400" w:lineRule="exact"/>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spacing w:line="560" w:lineRule="exact"/>
        <w:rPr>
          <w:rFonts w:ascii="宋体" w:cs="宋体"/>
          <w:b/>
          <w:bCs/>
          <w:sz w:val="32"/>
          <w:szCs w:val="32"/>
        </w:rPr>
      </w:pPr>
      <w:r>
        <w:rPr>
          <w:rFonts w:ascii="宋体" w:cs="宋体"/>
          <w:b/>
          <w:bCs/>
          <w:sz w:val="32"/>
          <w:szCs w:val="32"/>
        </w:rPr>
        <w:br w:type="page"/>
      </w:r>
    </w:p>
    <w:p>
      <w:pPr>
        <w:spacing w:line="560" w:lineRule="exact"/>
        <w:jc w:val="center"/>
        <w:rPr>
          <w:rFonts w:ascii="宋体" w:cs="宋体"/>
          <w:b/>
          <w:bCs/>
          <w:sz w:val="32"/>
          <w:szCs w:val="32"/>
        </w:rPr>
      </w:pPr>
      <w:r>
        <w:rPr>
          <w:rFonts w:hint="eastAsia" w:ascii="宋体" w:hAnsi="宋体" w:cs="宋体"/>
          <w:b/>
          <w:bCs/>
          <w:sz w:val="32"/>
          <w:szCs w:val="32"/>
        </w:rPr>
        <w:t>一般公共预算财政拨款基本支出决算表（按经济分类科目）</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6表</w:t>
      </w:r>
    </w:p>
    <w:p>
      <w:pPr>
        <w:spacing w:line="340" w:lineRule="exact"/>
        <w:rPr>
          <w:rFonts w:ascii="宋体" w:cs="宋体"/>
          <w:b/>
          <w:bCs/>
          <w:szCs w:val="21"/>
        </w:rPr>
      </w:pPr>
      <w:r>
        <w:rPr>
          <w:rFonts w:hint="eastAsia" w:ascii="宋体" w:hAnsi="宋体" w:cs="宋体"/>
          <w:b/>
          <w:bCs/>
          <w:szCs w:val="21"/>
        </w:rPr>
        <w:t>编制部门：杨陵区行政审批服务局                                        金额单位：万元</w:t>
      </w:r>
    </w:p>
    <w:tbl>
      <w:tblPr>
        <w:tblStyle w:val="8"/>
        <w:tblW w:w="8817" w:type="dxa"/>
        <w:tblInd w:w="0" w:type="dxa"/>
        <w:tblLayout w:type="fixed"/>
        <w:tblCellMar>
          <w:top w:w="15" w:type="dxa"/>
          <w:left w:w="15" w:type="dxa"/>
          <w:bottom w:w="15" w:type="dxa"/>
          <w:right w:w="15" w:type="dxa"/>
        </w:tblCellMar>
      </w:tblPr>
      <w:tblGrid>
        <w:gridCol w:w="974"/>
        <w:gridCol w:w="2229"/>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82.62</w:t>
            </w:r>
          </w:p>
        </w:tc>
        <w:tc>
          <w:tcPr>
            <w:tcW w:w="1437" w:type="dxa"/>
            <w:tcBorders>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79.42</w:t>
            </w:r>
          </w:p>
        </w:tc>
        <w:tc>
          <w:tcPr>
            <w:tcW w:w="1363" w:type="dxa"/>
            <w:tcBorders>
              <w:left w:val="single" w:color="000000" w:sz="4" w:space="0"/>
              <w:bottom w:val="single" w:color="000000" w:sz="4" w:space="0"/>
              <w:right w:val="single" w:color="000000" w:sz="4" w:space="0"/>
            </w:tcBorders>
            <w:vAlign w:val="center"/>
          </w:tcPr>
          <w:p>
            <w:pPr>
              <w:spacing w:line="340" w:lineRule="exact"/>
              <w:jc w:val="right"/>
              <w:rPr>
                <w:rFonts w:ascii="宋体" w:cs="宋体"/>
                <w:b/>
                <w:color w:val="000000"/>
                <w:szCs w:val="21"/>
              </w:rPr>
            </w:pPr>
            <w:r>
              <w:rPr>
                <w:rFonts w:hint="eastAsia" w:ascii="宋体" w:hAnsi="宋体" w:cs="宋体"/>
                <w:color w:val="000000"/>
                <w:sz w:val="22"/>
                <w:szCs w:val="22"/>
              </w:rPr>
              <w:t>3.20</w:t>
            </w:r>
          </w:p>
        </w:tc>
        <w:tc>
          <w:tcPr>
            <w:tcW w:w="1155" w:type="dxa"/>
            <w:tcBorders>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301</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79.38</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79.38</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30101</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28.17</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30102</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12.98</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12.98</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30107</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16.84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16.84</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30108</w:t>
            </w:r>
          </w:p>
        </w:tc>
        <w:tc>
          <w:tcPr>
            <w:tcW w:w="2229"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11.57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11.57</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30113</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9.82</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9.82</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302</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3.20</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3.20</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30201</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0.17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0.17</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30204</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30207</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0.32</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0.32</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 w:val="22"/>
                <w:szCs w:val="22"/>
              </w:rPr>
            </w:pPr>
            <w:r>
              <w:rPr>
                <w:rFonts w:hint="eastAsia" w:ascii="宋体" w:cs="宋体"/>
                <w:color w:val="000000"/>
                <w:sz w:val="22"/>
                <w:szCs w:val="22"/>
              </w:rPr>
              <w:t>30211</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 w:val="22"/>
                <w:szCs w:val="22"/>
              </w:rPr>
            </w:pPr>
            <w:r>
              <w:rPr>
                <w:rFonts w:hint="eastAsia" w:ascii="宋体" w:cs="宋体"/>
                <w:color w:val="000000"/>
                <w:sz w:val="22"/>
                <w:szCs w:val="22"/>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0.06</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 w:val="22"/>
                <w:szCs w:val="22"/>
              </w:rPr>
            </w:pPr>
            <w:r>
              <w:rPr>
                <w:rFonts w:hint="eastAsia" w:ascii="宋体" w:cs="宋体"/>
                <w:color w:val="000000"/>
                <w:sz w:val="22"/>
                <w:szCs w:val="22"/>
              </w:rPr>
              <w:t>30228</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 w:val="22"/>
                <w:szCs w:val="22"/>
              </w:rPr>
            </w:pPr>
            <w:r>
              <w:rPr>
                <w:rFonts w:hint="eastAsia" w:ascii="宋体" w:cs="宋体"/>
                <w:color w:val="000000"/>
                <w:sz w:val="22"/>
                <w:szCs w:val="22"/>
              </w:rPr>
              <w:t xml:space="preserve">  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1.97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1.97</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kern w:val="0"/>
                <w:szCs w:val="21"/>
              </w:rPr>
            </w:pPr>
            <w:r>
              <w:rPr>
                <w:rFonts w:hint="eastAsia" w:ascii="宋体" w:hAnsi="宋体" w:cs="宋体"/>
                <w:color w:val="000000"/>
                <w:kern w:val="0"/>
                <w:sz w:val="22"/>
                <w:szCs w:val="22"/>
              </w:rPr>
              <w:t>30239</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0.60</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0.60</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4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kern w:val="0"/>
                <w:szCs w:val="21"/>
              </w:rPr>
            </w:pPr>
            <w:r>
              <w:rPr>
                <w:rFonts w:hint="eastAsia" w:ascii="宋体" w:hAnsi="宋体" w:cs="宋体"/>
                <w:color w:val="000000"/>
                <w:kern w:val="0"/>
                <w:sz w:val="22"/>
                <w:szCs w:val="22"/>
              </w:rPr>
              <w:t>30299</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0.07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0.07</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4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22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4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30309</w:t>
            </w:r>
          </w:p>
        </w:tc>
        <w:tc>
          <w:tcPr>
            <w:tcW w:w="2229"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bl>
    <w:p>
      <w:pPr>
        <w:spacing w:line="400" w:lineRule="exact"/>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spacing w:line="560" w:lineRule="exact"/>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一般公共预算财政拨款“三公”经费</w:t>
      </w:r>
    </w:p>
    <w:p>
      <w:pPr>
        <w:spacing w:line="560" w:lineRule="exact"/>
        <w:jc w:val="center"/>
        <w:rPr>
          <w:rFonts w:ascii="宋体" w:cs="宋体"/>
          <w:b/>
          <w:bCs/>
          <w:sz w:val="32"/>
          <w:szCs w:val="32"/>
        </w:rPr>
      </w:pPr>
      <w:r>
        <w:rPr>
          <w:rFonts w:hint="eastAsia" w:ascii="宋体" w:hAnsi="宋体" w:cs="宋体"/>
          <w:b/>
          <w:bCs/>
          <w:sz w:val="32"/>
          <w:szCs w:val="32"/>
        </w:rPr>
        <w:t>及会议费、培训费支出决算表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7表</w:t>
      </w:r>
    </w:p>
    <w:p>
      <w:pPr>
        <w:spacing w:line="340" w:lineRule="exact"/>
        <w:rPr>
          <w:rFonts w:ascii="宋体" w:cs="宋体"/>
          <w:b/>
          <w:bCs/>
          <w:szCs w:val="21"/>
        </w:rPr>
      </w:pPr>
      <w:r>
        <w:rPr>
          <w:rFonts w:hint="eastAsia" w:ascii="宋体" w:hAnsi="宋体" w:cs="宋体"/>
          <w:b/>
          <w:bCs/>
          <w:szCs w:val="21"/>
        </w:rPr>
        <w:t>编制部门：杨陵区行政审批服务局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bl>
    <w:p>
      <w:pPr>
        <w:spacing w:line="400" w:lineRule="exact"/>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spacing w:line="560" w:lineRule="exact"/>
        <w:rPr>
          <w:rFonts w:ascii="宋体" w:cs="宋体"/>
          <w:szCs w:val="21"/>
        </w:rPr>
      </w:pPr>
    </w:p>
    <w:p>
      <w:pPr>
        <w:spacing w:line="560" w:lineRule="exact"/>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spacing w:line="340" w:lineRule="exact"/>
        <w:rPr>
          <w:rFonts w:ascii="宋体" w:cs="宋体"/>
          <w:b/>
          <w:bCs/>
          <w:szCs w:val="21"/>
        </w:rPr>
      </w:pPr>
      <w:r>
        <w:rPr>
          <w:rFonts w:hint="eastAsia" w:ascii="宋体" w:hAnsi="宋体" w:cs="宋体"/>
          <w:b/>
          <w:bCs/>
          <w:szCs w:val="21"/>
        </w:rPr>
        <w:t>编制部门：杨陵区行政审批服务局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bl>
    <w:p>
      <w:pPr>
        <w:spacing w:line="400" w:lineRule="exact"/>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spacing w:line="560" w:lineRule="exact"/>
        <w:rPr>
          <w:rFonts w:ascii="宋体" w:cs="宋体"/>
          <w:szCs w:val="21"/>
        </w:rPr>
      </w:pPr>
    </w:p>
    <w:p>
      <w:pPr>
        <w:spacing w:line="560" w:lineRule="exact"/>
        <w:jc w:val="center"/>
        <w:rPr>
          <w:rFonts w:ascii="黑体" w:hAnsi="宋体" w:eastAsia="黑体"/>
          <w:color w:val="000000"/>
          <w:kern w:val="0"/>
          <w:sz w:val="44"/>
          <w:szCs w:val="44"/>
        </w:rPr>
      </w:pPr>
      <w:r>
        <w:rPr>
          <w:rFonts w:ascii="黑体" w:hAnsi="宋体" w:eastAsia="黑体"/>
          <w:color w:val="000000"/>
          <w:kern w:val="0"/>
          <w:sz w:val="44"/>
          <w:szCs w:val="44"/>
        </w:rPr>
        <w:br w:type="page"/>
      </w: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spacing w:line="560" w:lineRule="exact"/>
        <w:rPr>
          <w:rFonts w:ascii="黑体" w:hAnsi="宋体" w:eastAsia="黑体"/>
          <w:color w:val="000000"/>
          <w:kern w:val="0"/>
          <w:sz w:val="44"/>
          <w:szCs w:val="44"/>
        </w:rPr>
      </w:pP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hint="eastAsia" w:ascii="仿宋_GB2312" w:hAnsi="仿宋" w:eastAsia="仿宋_GB2312"/>
          <w:sz w:val="32"/>
          <w:szCs w:val="32"/>
          <w:u w:val="none"/>
          <w:lang w:val="en-US" w:eastAsia="zh-CN"/>
        </w:rPr>
        <w:t>92.7</w:t>
      </w:r>
      <w:r>
        <w:rPr>
          <w:rFonts w:hint="eastAsia" w:ascii="仿宋_GB2312" w:hAnsi="仿宋" w:eastAsia="仿宋_GB2312"/>
          <w:sz w:val="32"/>
          <w:szCs w:val="32"/>
          <w:u w:val="none"/>
        </w:rPr>
        <w:t>万元，支出</w:t>
      </w:r>
      <w:r>
        <w:rPr>
          <w:rFonts w:hint="eastAsia" w:ascii="仿宋_GB2312" w:hAnsi="仿宋" w:eastAsia="仿宋_GB2312"/>
          <w:sz w:val="32"/>
          <w:szCs w:val="32"/>
          <w:u w:val="none"/>
          <w:lang w:val="en-US" w:eastAsia="zh-CN"/>
        </w:rPr>
        <w:t>92.7</w:t>
      </w:r>
      <w:r>
        <w:rPr>
          <w:rFonts w:hint="eastAsia" w:ascii="仿宋_GB2312" w:hAnsi="仿宋" w:eastAsia="仿宋_GB2312"/>
          <w:sz w:val="32"/>
          <w:szCs w:val="32"/>
        </w:rPr>
        <w:t>万元。由于本单位为机构改革新增单位，2018年无决算数据，因此无法与上年数据比较。</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spacing w:line="560" w:lineRule="exact"/>
        <w:ind w:firstLine="640" w:firstLineChars="200"/>
        <w:jc w:val="left"/>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1045845</wp:posOffset>
            </wp:positionH>
            <wp:positionV relativeFrom="paragraph">
              <wp:posOffset>1096010</wp:posOffset>
            </wp:positionV>
            <wp:extent cx="3328035" cy="2413000"/>
            <wp:effectExtent l="4445" t="4445" r="7620" b="825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年收入合计92.70万元，其中：财政拨款收入82.62万元，占89.12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；事业收入0万元，占0%；经营收入0万元，占0%；其他收入10.09万元，占10.88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0" w:firstLineChars="200"/>
        <w:jc w:val="left"/>
        <w:rPr>
          <w:rFonts w:ascii="黑体" w:hAnsi="黑体" w:eastAsia="黑体"/>
          <w:color w:val="000000"/>
          <w:kern w:val="0"/>
          <w:sz w:val="32"/>
          <w:szCs w:val="32"/>
        </w:rPr>
      </w:pPr>
    </w:p>
    <w:p>
      <w:pPr>
        <w:spacing w:line="560" w:lineRule="exact"/>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spacing w:line="560" w:lineRule="exact"/>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年支出合计92.70万元，其中：基本支出82.62万元，占98.12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；项目支出10.09万元，占10.88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；经营支出0万元，占0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0" w:firstLineChars="200"/>
        <w:jc w:val="left"/>
        <w:rPr>
          <w:rFonts w:ascii="黑体" w:hAnsi="黑体" w:eastAsia="黑体"/>
          <w:color w:val="000000"/>
          <w:kern w:val="0"/>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1075055</wp:posOffset>
            </wp:positionH>
            <wp:positionV relativeFrom="paragraph">
              <wp:posOffset>64770</wp:posOffset>
            </wp:positionV>
            <wp:extent cx="3308350" cy="2407285"/>
            <wp:effectExtent l="4445" t="4445" r="14605"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kern w:val="0"/>
          <w:sz w:val="32"/>
          <w:szCs w:val="32"/>
        </w:rPr>
        <w:t>四、财政拨款收入支出决算总体情况说明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2019年财政拨款收入、支出总计82.62万元。因属机构改革新增单位，因此无法与上年数据比较。</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年财政拨款支出82.62万元，占本年支出合计的89.88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ascii="仿宋_GB2312" w:hAnsi="仿宋_GB2312" w:eastAsia="仿宋_GB2312" w:cs="仿宋_GB2312"/>
          <w:sz w:val="32"/>
          <w:szCs w:val="32"/>
        </w:rPr>
        <w:t>因属机构改革新增单位，因此无法与上年数据比较。</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（二）财政拨款支出决算具体情况说明。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 年财政拨款支出82.62万元，完成年初预算的100%（原因为我局属机构改革新增单位，2019年未做预算）。按照政府功能分类科目分，其中：</w:t>
      </w:r>
    </w:p>
    <w:p>
      <w:pPr>
        <w:spacing w:line="560" w:lineRule="exact"/>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一般公共服务支出（类）政府办公厅（室）及相关机构事务（款）行政运行（项）。</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支出决算为28.15万元，完成年初预算的100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，主要原因是</w:t>
      </w:r>
      <w:r>
        <w:rPr>
          <w:rFonts w:hint="eastAsia" w:ascii="仿宋_GB2312" w:hAnsi="仿宋_GB2312" w:eastAsia="仿宋_GB2312" w:cs="仿宋_GB2312"/>
          <w:sz w:val="32"/>
          <w:szCs w:val="32"/>
        </w:rPr>
        <w:t>我局属机构改革新增单位，2019年未做预算。</w:t>
      </w:r>
    </w:p>
    <w:p>
      <w:pPr>
        <w:spacing w:line="560" w:lineRule="exact"/>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一般公共服务支出（类）政府办公厅（室）及相关机构事务（款）事业运行（项）。</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支出决算为54.47万元，完成年初预算的100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，主要原因是</w:t>
      </w:r>
      <w:r>
        <w:rPr>
          <w:rFonts w:hint="eastAsia" w:ascii="仿宋_GB2312" w:hAnsi="仿宋_GB2312" w:eastAsia="仿宋_GB2312" w:cs="仿宋_GB2312"/>
          <w:sz w:val="32"/>
          <w:szCs w:val="32"/>
        </w:rPr>
        <w:t>我局属机构改革新增单位，2019年未做预算。</w:t>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spacing w:line="560" w:lineRule="exact"/>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年一般公共预算财政拨款基本支出82.62万元，包括：人员经费支出79.42万元和公用经费支出3.20万元。</w:t>
      </w:r>
    </w:p>
    <w:p>
      <w:pPr>
        <w:spacing w:line="560" w:lineRule="exact"/>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79.42万元，主要包括：</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28.17万元；津贴补贴12.98万元；绩效工资16.84万元；机关事业单位基本养老保险缴费11.57万元；住房公积金9.82万元；奖励金0.04万元。</w:t>
      </w:r>
    </w:p>
    <w:p>
      <w:pPr>
        <w:spacing w:line="560" w:lineRule="exact"/>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3.20万元，主要包括：</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rPr>
        <w:t>0.17万元；印刷费0.01万元；邮电费0.32万元；差旅费0.06万元；工会经费1.97万元；其他交通费0.60万元；其他商品和服务支出0.07万元。</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spacing w:line="560" w:lineRule="exact"/>
        <w:ind w:firstLine="643" w:firstLineChars="200"/>
        <w:jc w:val="left"/>
      </w:pPr>
      <w:r>
        <w:rPr>
          <w:rFonts w:hint="eastAsia" w:ascii="楷体_GB2312" w:hAnsi="宋体" w:eastAsia="楷体_GB2312" w:cs="楷体_GB2312"/>
          <w:b/>
          <w:color w:val="000000"/>
          <w:kern w:val="0"/>
          <w:sz w:val="32"/>
          <w:szCs w:val="32"/>
        </w:rPr>
        <w:t>（一）“三公”经费财政拨款支出决算总体情况说明。</w:t>
      </w:r>
    </w:p>
    <w:p>
      <w:pPr>
        <w:spacing w:line="560" w:lineRule="exact"/>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年“三公”经费财政拨款支出预算为0万元，支出决算为0万元，完成预算的100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spacing w:line="560" w:lineRule="exact"/>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；公务用车购置费支出0万元，占0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；公务接待费支出决算0万元，占0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。具体情况如下：</w:t>
      </w:r>
    </w:p>
    <w:p>
      <w:pPr>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因公出国（境）支出情况说明。</w:t>
      </w:r>
    </w:p>
    <w:p>
      <w:pPr>
        <w:spacing w:line="560" w:lineRule="exact"/>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rPr>
        <w:t>0个，0人次，</w:t>
      </w:r>
      <w:r>
        <w:rPr>
          <w:rFonts w:hint="eastAsia" w:ascii="仿宋_GB2312" w:hAnsi="宋体" w:eastAsia="仿宋_GB2312" w:cs="仿宋_GB2312"/>
          <w:color w:val="000000"/>
          <w:kern w:val="0"/>
          <w:sz w:val="32"/>
          <w:szCs w:val="32"/>
        </w:rPr>
        <w:t>预算为0万元，支出决算为0万元，完成预算的100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公务用车购置费用支出情况说明。</w:t>
      </w:r>
    </w:p>
    <w:p>
      <w:pPr>
        <w:spacing w:line="560" w:lineRule="exact"/>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年购置车辆</w:t>
      </w:r>
      <w:r>
        <w:rPr>
          <w:rFonts w:hint="eastAsia" w:ascii="仿宋_GB2312" w:hAnsi="仿宋_GB2312" w:eastAsia="仿宋_GB2312" w:cs="仿宋_GB2312"/>
          <w:sz w:val="32"/>
          <w:szCs w:val="32"/>
        </w:rPr>
        <w:t>0台，</w:t>
      </w:r>
      <w:r>
        <w:rPr>
          <w:rFonts w:hint="eastAsia" w:ascii="仿宋_GB2312" w:hAnsi="宋体" w:eastAsia="仿宋_GB2312" w:cs="仿宋_GB2312"/>
          <w:color w:val="000000"/>
          <w:kern w:val="0"/>
          <w:sz w:val="32"/>
          <w:szCs w:val="32"/>
        </w:rPr>
        <w:t>预算为0万元，支出决算为0万元</w:t>
      </w:r>
      <w:r>
        <w:rPr>
          <w:rFonts w:hint="eastAsia" w:ascii="仿宋_GB2312" w:hAnsi="仿宋_GB2312" w:eastAsia="仿宋_GB2312" w:cs="仿宋_GB2312"/>
          <w:sz w:val="32"/>
          <w:szCs w:val="32"/>
        </w:rPr>
        <w:t>0</w:t>
      </w:r>
      <w:r>
        <w:rPr>
          <w:rFonts w:hint="eastAsia" w:ascii="仿宋_GB2312" w:hAnsi="宋体" w:eastAsia="仿宋_GB2312" w:cs="仿宋_GB2312"/>
          <w:color w:val="000000"/>
          <w:kern w:val="0"/>
          <w:sz w:val="32"/>
          <w:szCs w:val="32"/>
        </w:rPr>
        <w:t>，完成预算的100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公务用车运行维护费用支出情况说明。</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预算为0万元，支出决算为0万元</w:t>
      </w:r>
      <w:r>
        <w:rPr>
          <w:rFonts w:hint="eastAsia" w:ascii="仿宋_GB2312" w:hAnsi="仿宋_GB2312" w:eastAsia="仿宋_GB2312" w:cs="仿宋_GB2312"/>
          <w:sz w:val="32"/>
          <w:szCs w:val="32"/>
        </w:rPr>
        <w:t>0</w:t>
      </w:r>
      <w:r>
        <w:rPr>
          <w:rFonts w:hint="eastAsia" w:ascii="仿宋_GB2312" w:hAnsi="宋体" w:eastAsia="仿宋_GB2312" w:cs="仿宋_GB2312"/>
          <w:color w:val="000000"/>
          <w:kern w:val="0"/>
          <w:sz w:val="32"/>
          <w:szCs w:val="32"/>
        </w:rPr>
        <w:t>，完成预算的100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公务接待费支出情况说明。</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hint="eastAsia" w:ascii="仿宋_GB2312" w:hAnsi="仿宋_GB2312" w:eastAsia="仿宋_GB2312" w:cs="仿宋_GB2312"/>
          <w:sz w:val="32"/>
          <w:szCs w:val="32"/>
        </w:rPr>
        <w:t>0批次，0人次，</w:t>
      </w:r>
      <w:r>
        <w:rPr>
          <w:rFonts w:hint="eastAsia" w:ascii="仿宋_GB2312" w:hAnsi="宋体" w:eastAsia="仿宋_GB2312" w:cs="仿宋_GB2312"/>
          <w:color w:val="000000"/>
          <w:kern w:val="0"/>
          <w:sz w:val="32"/>
          <w:szCs w:val="32"/>
        </w:rPr>
        <w:t>预算为0万元，支出决算为0万元，完成预算的100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rPr>
        <w:t>预算为0万元，支出决算为0万元，完成预算的100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hint="eastAsia" w:ascii="仿宋_GB2312" w:hAnsi="宋体" w:eastAsia="仿宋_GB2312" w:cs="仿宋_GB2312"/>
          <w:color w:val="000000"/>
          <w:kern w:val="0"/>
          <w:sz w:val="32"/>
          <w:szCs w:val="32"/>
        </w:rPr>
        <w:t>预算为0万元，支出决算为0万元，完成预算的100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spacing w:line="560" w:lineRule="exact"/>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color w:val="000000"/>
          <w:kern w:val="0"/>
          <w:sz w:val="31"/>
          <w:szCs w:val="31"/>
        </w:rPr>
        <w:t>我部门属</w:t>
      </w:r>
      <w:r>
        <w:rPr>
          <w:rFonts w:hint="eastAsia" w:ascii="仿宋_GB2312" w:hAnsi="仿宋" w:eastAsia="仿宋_GB2312"/>
          <w:sz w:val="32"/>
          <w:szCs w:val="32"/>
        </w:rPr>
        <w:t>2019年机构改革新成立单位，因此未编预算绩效目标。</w:t>
      </w:r>
      <w:r>
        <w:rPr>
          <w:rFonts w:hint="eastAsia" w:ascii="仿宋_GB2312" w:hAnsi="仿宋_GB2312" w:eastAsia="仿宋_GB2312" w:cs="仿宋_GB2312"/>
          <w:sz w:val="32"/>
          <w:szCs w:val="32"/>
        </w:rPr>
        <w:t>根据预算绩效管理要求，本部门组织对2019年一般公共预算项目支出全面开展绩效自评，其中，一级项目1个，二级项目0个，共涉及资金10.09万元，占一般公共预算项目支出总额的10.88%。</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项目绩效自评综述：</w:t>
      </w:r>
      <w:r>
        <w:rPr>
          <w:rFonts w:hint="eastAsia" w:ascii="仿宋_GB2312" w:hAnsi="仿宋_GB2312" w:eastAsia="仿宋_GB2312" w:cs="仿宋_GB2312"/>
          <w:color w:val="000000"/>
          <w:kern w:val="0"/>
          <w:sz w:val="31"/>
          <w:szCs w:val="31"/>
        </w:rPr>
        <w:t>我局属</w:t>
      </w:r>
      <w:r>
        <w:rPr>
          <w:rFonts w:hint="eastAsia" w:ascii="仿宋_GB2312" w:hAnsi="仿宋" w:eastAsia="仿宋_GB2312"/>
          <w:sz w:val="32"/>
          <w:szCs w:val="32"/>
        </w:rPr>
        <w:t>2019年机构改革新成立单位，因此未编预算绩效目标</w:t>
      </w:r>
      <w:r>
        <w:rPr>
          <w:rFonts w:ascii="仿宋_GB2312" w:hAnsi="仿宋_GB2312" w:eastAsia="仿宋_GB2312" w:cs="仿宋_GB2312"/>
          <w:color w:val="000000"/>
          <w:kern w:val="0"/>
          <w:sz w:val="31"/>
          <w:szCs w:val="31"/>
        </w:rPr>
        <w:t>，项目自评得分</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分。项目全年执行数</w:t>
      </w:r>
      <w:r>
        <w:rPr>
          <w:rFonts w:hint="eastAsia" w:ascii="仿宋_GB2312" w:hAnsi="仿宋_GB2312" w:eastAsia="仿宋_GB2312" w:cs="仿宋_GB2312"/>
          <w:color w:val="000000"/>
          <w:kern w:val="0"/>
          <w:sz w:val="31"/>
          <w:szCs w:val="31"/>
        </w:rPr>
        <w:t>10.09</w:t>
      </w:r>
      <w:r>
        <w:rPr>
          <w:rFonts w:ascii="仿宋_GB2312" w:hAnsi="仿宋_GB2312" w:eastAsia="仿宋_GB2312" w:cs="仿宋_GB2312"/>
          <w:color w:val="000000"/>
          <w:kern w:val="0"/>
          <w:sz w:val="31"/>
          <w:szCs w:val="31"/>
        </w:rPr>
        <w:t>万元，完成</w:t>
      </w:r>
      <w:r>
        <w:rPr>
          <w:rFonts w:hint="eastAsia" w:ascii="仿宋_GB2312" w:hAnsi="仿宋_GB2312" w:eastAsia="仿宋_GB2312" w:cs="仿宋_GB2312"/>
          <w:color w:val="000000"/>
          <w:kern w:val="0"/>
          <w:sz w:val="31"/>
          <w:szCs w:val="31"/>
        </w:rPr>
        <w:t>率100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通过实施一系列项目，促进了行政审批服务项目建设的整体进度和合理布局，不断推动审批服务高质量发展。</w:t>
      </w:r>
    </w:p>
    <w:p>
      <w:pPr>
        <w:pStyle w:val="2"/>
        <w:rPr>
          <w:color w:val="000000"/>
          <w:kern w:val="0"/>
          <w:sz w:val="31"/>
          <w:szCs w:val="31"/>
        </w:rPr>
      </w:pPr>
    </w:p>
    <w:p>
      <w:pPr>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br w:type="page"/>
      </w:r>
    </w:p>
    <w:p>
      <w:pPr>
        <w:rPr>
          <w:rFonts w:ascii="仿宋_GB2312" w:hAnsi="仿宋_GB2312" w:eastAsia="仿宋_GB2312" w:cs="仿宋_GB2312"/>
          <w:color w:val="000000"/>
          <w:kern w:val="0"/>
          <w:sz w:val="31"/>
          <w:szCs w:val="31"/>
        </w:rPr>
      </w:pPr>
      <w:r>
        <w:rPr>
          <w:rFonts w:ascii="楷体" w:hAnsi="楷体" w:eastAsia="楷体" w:cs="楷体"/>
          <w:sz w:val="32"/>
          <w:szCs w:val="32"/>
        </w:rPr>
        <w:pict>
          <v:shape id="_x0000_i1025" o:spt="75" type="#_x0000_t75" style="height:480pt;width:471.75pt;" filled="f" o:preferrelative="t" stroked="f" coordsize="21600,21600">
            <v:path/>
            <v:fill on="f" focussize="0,0"/>
            <v:stroke on="f" joinstyle="miter"/>
            <v:imagedata r:id="rId9" o:title=""/>
            <o:lock v:ext="edit" aspectratio="t"/>
            <w10:wrap type="none"/>
            <w10:anchorlock/>
          </v:shape>
        </w:pict>
      </w:r>
    </w:p>
    <w:p>
      <w:pPr>
        <w:rPr>
          <w:rFonts w:ascii="仿宋_GB2312" w:hAnsi="仿宋_GB2312" w:eastAsia="仿宋_GB2312" w:cs="仿宋_GB2312"/>
          <w:color w:val="000000"/>
          <w:kern w:val="0"/>
          <w:sz w:val="31"/>
          <w:szCs w:val="31"/>
        </w:rPr>
      </w:pPr>
    </w:p>
    <w:p>
      <w:pPr>
        <w:rPr>
          <w:rFonts w:ascii="仿宋_GB2312" w:hAnsi="仿宋_GB2312" w:eastAsia="仿宋_GB2312" w:cs="仿宋_GB2312"/>
          <w:color w:val="000000"/>
          <w:kern w:val="0"/>
          <w:sz w:val="31"/>
          <w:szCs w:val="31"/>
        </w:rPr>
        <w:sectPr>
          <w:headerReference r:id="rId3" w:type="default"/>
          <w:footerReference r:id="rId4" w:type="default"/>
          <w:pgSz w:w="11906" w:h="16838"/>
          <w:pgMar w:top="1984" w:right="1587" w:bottom="2098" w:left="1474" w:header="851" w:footer="992" w:gutter="0"/>
          <w:cols w:space="0" w:num="1"/>
          <w:docGrid w:type="lines" w:linePitch="315" w:charSpace="0"/>
        </w:sectPr>
      </w:pPr>
    </w:p>
    <w:tbl>
      <w:tblPr>
        <w:tblStyle w:val="8"/>
        <w:tblW w:w="13835" w:type="dxa"/>
        <w:jc w:val="center"/>
        <w:tblLayout w:type="fixed"/>
        <w:tblCellMar>
          <w:top w:w="0" w:type="dxa"/>
          <w:left w:w="0" w:type="dxa"/>
          <w:bottom w:w="0" w:type="dxa"/>
          <w:right w:w="0" w:type="dxa"/>
        </w:tblCellMar>
      </w:tblPr>
      <w:tblGrid>
        <w:gridCol w:w="523"/>
        <w:gridCol w:w="703"/>
        <w:gridCol w:w="569"/>
        <w:gridCol w:w="374"/>
        <w:gridCol w:w="2634"/>
        <w:gridCol w:w="3142"/>
        <w:gridCol w:w="1360"/>
        <w:gridCol w:w="690"/>
        <w:gridCol w:w="680"/>
        <w:gridCol w:w="610"/>
        <w:gridCol w:w="1360"/>
        <w:gridCol w:w="1190"/>
      </w:tblGrid>
      <w:tr>
        <w:tblPrEx>
          <w:tblCellMar>
            <w:top w:w="0" w:type="dxa"/>
            <w:left w:w="0" w:type="dxa"/>
            <w:bottom w:w="0" w:type="dxa"/>
            <w:right w:w="0" w:type="dxa"/>
          </w:tblCellMar>
        </w:tblPrEx>
        <w:trPr>
          <w:trHeight w:val="765" w:hRule="atLeast"/>
          <w:jc w:val="center"/>
        </w:trPr>
        <w:tc>
          <w:tcPr>
            <w:tcW w:w="13835" w:type="dxa"/>
            <w:gridSpan w:val="12"/>
            <w:tcBorders>
              <w:top w:val="nil"/>
              <w:left w:val="nil"/>
              <w:bottom w:val="nil"/>
              <w:right w:val="nil"/>
            </w:tcBorders>
            <w:shd w:val="clear" w:color="auto" w:fill="auto"/>
            <w:tcMar>
              <w:top w:w="10" w:type="dxa"/>
              <w:left w:w="10" w:type="dxa"/>
              <w:right w:w="10" w:type="dxa"/>
            </w:tcMar>
            <w:vAlign w:val="center"/>
          </w:tcPr>
          <w:p>
            <w:pPr>
              <w:widowControl/>
              <w:spacing w:line="340" w:lineRule="exact"/>
              <w:jc w:val="center"/>
              <w:textAlignment w:val="center"/>
              <w:rPr>
                <w:rFonts w:ascii="黑体" w:hAnsi="宋体" w:eastAsia="黑体"/>
                <w:color w:val="000000"/>
                <w:sz w:val="40"/>
                <w:szCs w:val="40"/>
              </w:rPr>
            </w:pPr>
            <w:r>
              <w:rPr>
                <w:rFonts w:hint="eastAsia" w:ascii="黑体" w:hAnsi="宋体" w:eastAsia="黑体"/>
                <w:color w:val="000000"/>
                <w:kern w:val="0"/>
                <w:sz w:val="36"/>
                <w:szCs w:val="36"/>
              </w:rPr>
              <w:t>部门整体支出绩效自评表</w:t>
            </w:r>
            <w:r>
              <w:rPr>
                <w:rFonts w:hint="eastAsia" w:ascii="黑体" w:hAnsi="宋体" w:eastAsia="黑体"/>
                <w:color w:val="000000"/>
                <w:kern w:val="0"/>
                <w:sz w:val="40"/>
                <w:szCs w:val="40"/>
              </w:rPr>
              <w:br w:type="textWrapping"/>
            </w:r>
            <w:r>
              <w:rPr>
                <w:rStyle w:val="17"/>
                <w:rFonts w:hint="default"/>
              </w:rPr>
              <w:t>（2019年度）</w:t>
            </w:r>
          </w:p>
        </w:tc>
      </w:tr>
      <w:tr>
        <w:tblPrEx>
          <w:tblCellMar>
            <w:top w:w="0" w:type="dxa"/>
            <w:left w:w="0" w:type="dxa"/>
            <w:bottom w:w="0" w:type="dxa"/>
            <w:right w:w="0" w:type="dxa"/>
          </w:tblCellMar>
        </w:tblPrEx>
        <w:trPr>
          <w:trHeight w:val="450" w:hRule="atLeast"/>
          <w:jc w:val="center"/>
        </w:trPr>
        <w:tc>
          <w:tcPr>
            <w:tcW w:w="4803" w:type="dxa"/>
            <w:gridSpan w:val="5"/>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填报单位:杨陵区行政审批服务局</w:t>
            </w:r>
          </w:p>
        </w:tc>
        <w:tc>
          <w:tcPr>
            <w:tcW w:w="3142" w:type="dxa"/>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自评得分：97</w:t>
            </w:r>
          </w:p>
        </w:tc>
        <w:tc>
          <w:tcPr>
            <w:tcW w:w="1360" w:type="dxa"/>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rPr>
            </w:pPr>
          </w:p>
        </w:tc>
        <w:tc>
          <w:tcPr>
            <w:tcW w:w="690" w:type="dxa"/>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rPr>
            </w:pPr>
          </w:p>
        </w:tc>
        <w:tc>
          <w:tcPr>
            <w:tcW w:w="680" w:type="dxa"/>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rPr>
            </w:pPr>
          </w:p>
        </w:tc>
        <w:tc>
          <w:tcPr>
            <w:tcW w:w="610" w:type="dxa"/>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rPr>
            </w:pPr>
          </w:p>
        </w:tc>
        <w:tc>
          <w:tcPr>
            <w:tcW w:w="1360" w:type="dxa"/>
            <w:tcBorders>
              <w:top w:val="nil"/>
              <w:left w:val="nil"/>
              <w:bottom w:val="nil"/>
              <w:right w:val="nil"/>
            </w:tcBorders>
            <w:shd w:val="clear" w:color="auto" w:fill="auto"/>
            <w:noWrap/>
            <w:tcMar>
              <w:top w:w="10" w:type="dxa"/>
              <w:left w:w="10" w:type="dxa"/>
              <w:right w:w="10" w:type="dxa"/>
            </w:tcMar>
            <w:vAlign w:val="center"/>
          </w:tcPr>
          <w:p>
            <w:pPr>
              <w:rPr>
                <w:rFonts w:ascii="宋体" w:hAnsi="宋体" w:cs="宋体"/>
                <w:color w:val="000000"/>
                <w:sz w:val="24"/>
              </w:rPr>
            </w:pPr>
          </w:p>
        </w:tc>
        <w:tc>
          <w:tcPr>
            <w:tcW w:w="1190" w:type="dxa"/>
            <w:tcBorders>
              <w:top w:val="nil"/>
              <w:left w:val="nil"/>
              <w:bottom w:val="nil"/>
              <w:right w:val="nil"/>
            </w:tcBorders>
            <w:shd w:val="clear" w:color="auto" w:fill="auto"/>
            <w:noWrap/>
            <w:tcMar>
              <w:top w:w="10" w:type="dxa"/>
              <w:left w:w="10" w:type="dxa"/>
              <w:right w:w="10"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500" w:hRule="atLeast"/>
          <w:jc w:val="center"/>
        </w:trPr>
        <w:tc>
          <w:tcPr>
            <w:tcW w:w="480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（一）简要概述部门职能与职责。</w:t>
            </w:r>
          </w:p>
        </w:tc>
        <w:tc>
          <w:tcPr>
            <w:tcW w:w="9032"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贯彻执行《行政许可法》和相关法律法规，落实行政审批制度改革政策,协调相关部门对区级行政许可(审批)事项和政务服务事项清单进行动态调整和承接，推动“放管服”改革工作。 负责集中办理投资项目、市场管理、社会事务、住建交通城管、生态环境、应急管理、农林水务等方面行政审批事项的办理和政务服务，组织有关部门进行踏勘验收、技术论证和社会听证工作，并对行为结果和行政性收费承担相应法律责任。负责对行政审批、政务服务事项进行流程再造，环节优化、压缩时限，并对办理情况进行跟踪督办;协调有关部门解决行政审批、政务服务事项办理中存在的相关问题。负贵网上办事大厅和实体大厅“线上线下”政务服务平台的建设和管理工作;负责中介服务机构办理事项的规范、管理和监督。</w:t>
            </w:r>
          </w:p>
        </w:tc>
      </w:tr>
      <w:tr>
        <w:tblPrEx>
          <w:tblCellMar>
            <w:top w:w="0" w:type="dxa"/>
            <w:left w:w="0" w:type="dxa"/>
            <w:bottom w:w="0" w:type="dxa"/>
            <w:right w:w="0" w:type="dxa"/>
          </w:tblCellMar>
        </w:tblPrEx>
        <w:trPr>
          <w:trHeight w:val="520" w:hRule="atLeast"/>
          <w:jc w:val="center"/>
        </w:trPr>
        <w:tc>
          <w:tcPr>
            <w:tcW w:w="480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（二）简要概述部门支出情况，按活动内容分类。</w:t>
            </w:r>
          </w:p>
        </w:tc>
        <w:tc>
          <w:tcPr>
            <w:tcW w:w="9032"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2019年部门支出合计92.70万元。其中：工资福利支出79.38万元，占85.63%；商品和服务支出8.66万元，占9.34%；对个人和家庭的补助0.04万元，占0.04%；资本性支出4.63万元，占4.99%。</w:t>
            </w:r>
          </w:p>
        </w:tc>
      </w:tr>
      <w:tr>
        <w:tblPrEx>
          <w:tblCellMar>
            <w:top w:w="0" w:type="dxa"/>
            <w:left w:w="0" w:type="dxa"/>
            <w:bottom w:w="0" w:type="dxa"/>
            <w:right w:w="0" w:type="dxa"/>
          </w:tblCellMar>
        </w:tblPrEx>
        <w:trPr>
          <w:trHeight w:val="290" w:hRule="atLeast"/>
          <w:jc w:val="center"/>
        </w:trPr>
        <w:tc>
          <w:tcPr>
            <w:tcW w:w="480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（三）简要概述当年省委省政府下达的重点工作。</w:t>
            </w:r>
          </w:p>
        </w:tc>
        <w:tc>
          <w:tcPr>
            <w:tcW w:w="9032"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仿宋_GB2312" w:hAnsi="宋体" w:eastAsia="仿宋_GB2312" w:cs="仿宋_GB2312"/>
                <w:color w:val="000000"/>
                <w:sz w:val="16"/>
                <w:szCs w:val="16"/>
              </w:rPr>
            </w:pPr>
          </w:p>
        </w:tc>
      </w:tr>
      <w:tr>
        <w:tblPrEx>
          <w:tblCellMar>
            <w:top w:w="0" w:type="dxa"/>
            <w:left w:w="0" w:type="dxa"/>
            <w:bottom w:w="0" w:type="dxa"/>
            <w:right w:w="0" w:type="dxa"/>
          </w:tblCellMar>
        </w:tblPrEx>
        <w:trPr>
          <w:trHeight w:val="50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一级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二级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三级指标</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分值</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指标说明</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评分标准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指标值计算公式和数据获取方式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年初目标值</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实际完成值</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得分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未完成原因分析与改进措施</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绩效指标分析与建议</w:t>
            </w:r>
          </w:p>
        </w:tc>
      </w:tr>
      <w:tr>
        <w:tblPrEx>
          <w:tblCellMar>
            <w:top w:w="0" w:type="dxa"/>
            <w:left w:w="0" w:type="dxa"/>
            <w:bottom w:w="0" w:type="dxa"/>
            <w:right w:w="0" w:type="dxa"/>
          </w:tblCellMar>
        </w:tblPrEx>
        <w:trPr>
          <w:trHeight w:val="1640"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投入</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预算执行（25分）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完成率</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（10分）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10</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预算完成率=（预算完成数/预算数）×100%，用以反映和考核部门（单位）预算完成程度。</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预算完成数：部门（单位）本年度实际完成的预算数。</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预算数：财政部门批复的本年度部门（单位）预算数。</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预算完成率＝100%的，得10分。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预算完成率≥95%的，得9分。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预算完成率在90%（含）和95%之间，得8分。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预算完成率在85%（含）和90%之间，得7分。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预算完成率在80%（含）和85%之间，得6分。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预算完成率在70%（含）和80%之间，得4分。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预算完成率＜70%的，得0分。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获取方式：2019年部门决算数据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r>
              <w:rPr>
                <w:rFonts w:hint="eastAsia" w:ascii="楷体_GB2312" w:hAnsi="宋体" w:eastAsia="楷体_GB2312" w:cs="楷体_GB2312"/>
                <w:color w:val="000000"/>
                <w:sz w:val="16"/>
                <w:szCs w:val="16"/>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≥95%</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9</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本部门为2019年3月机构改革时新成立单位，人大已完成全区预算批复，本部门无2019年预算。</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仿宋_GB2312" w:hAnsi="宋体" w:eastAsia="仿宋_GB2312" w:cs="仿宋_GB2312"/>
                <w:color w:val="000000"/>
                <w:sz w:val="16"/>
                <w:szCs w:val="16"/>
              </w:rPr>
            </w:pPr>
          </w:p>
        </w:tc>
      </w:tr>
      <w:tr>
        <w:tblPrEx>
          <w:tblCellMar>
            <w:top w:w="0" w:type="dxa"/>
            <w:left w:w="0" w:type="dxa"/>
            <w:bottom w:w="0" w:type="dxa"/>
            <w:right w:w="0" w:type="dxa"/>
          </w:tblCellMar>
        </w:tblPrEx>
        <w:trPr>
          <w:trHeight w:val="9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rPr>
                <w:rFonts w:ascii="楷体_GB2312" w:hAnsi="宋体" w:eastAsia="楷体_GB2312" w:cs="楷体_GB2312"/>
                <w:color w:val="000000"/>
                <w:sz w:val="16"/>
                <w:szCs w:val="16"/>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预算调整率</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预算调整率=（预算调整数/预算数）×100%，用以反映和考核部门（单位）预算的调整程度。</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预算包括一般公共预算与政府性基金预算。</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预算调整率绝对值≤5%，得5分。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预算调整率绝对值＞5%的，每增加0.1个百分点扣0.1分，扣完为止。</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获取方式：2019年部门决算数据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r>
              <w:rPr>
                <w:rFonts w:hint="eastAsia" w:ascii="楷体_GB2312" w:hAnsi="宋体" w:eastAsia="楷体_GB2312" w:cs="楷体_GB2312"/>
                <w:color w:val="000000"/>
                <w:sz w:val="16"/>
                <w:szCs w:val="16"/>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原因是：本部门为2019年3月机构改革时新成立单位，人大已完成全区预算批复，本部门无2019年预算。</w:t>
            </w:r>
            <w:r>
              <w:rPr>
                <w:rFonts w:hint="eastAsia" w:ascii="仿宋_GB2312" w:hAnsi="宋体" w:eastAsia="仿宋_GB2312" w:cs="仿宋_GB2312"/>
                <w:color w:val="000000"/>
                <w:kern w:val="0"/>
                <w:sz w:val="16"/>
                <w:szCs w:val="16"/>
              </w:rPr>
              <w:br w:type="textWrapping"/>
            </w:r>
            <w:r>
              <w:rPr>
                <w:rFonts w:hint="eastAsia" w:ascii="仿宋_GB2312" w:hAnsi="宋体" w:eastAsia="仿宋_GB2312" w:cs="仿宋_GB2312"/>
                <w:color w:val="000000"/>
                <w:kern w:val="0"/>
                <w:sz w:val="16"/>
                <w:szCs w:val="16"/>
              </w:rPr>
              <w:t>改进措施：提高部门预算编制的科学性。</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组织培训学习，提高预算编制精准度。</w:t>
            </w:r>
          </w:p>
        </w:tc>
      </w:tr>
      <w:tr>
        <w:tblPrEx>
          <w:tblCellMar>
            <w:top w:w="0" w:type="dxa"/>
            <w:left w:w="0" w:type="dxa"/>
            <w:bottom w:w="0" w:type="dxa"/>
            <w:right w:w="0" w:type="dxa"/>
          </w:tblCellMar>
        </w:tblPrEx>
        <w:trPr>
          <w:trHeight w:val="98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一级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二级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三级指标</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分值</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指标说明</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评分标准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指标值计算公式和数据获取方式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年初目标值</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实际完成值</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得分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未完成原因分析与改进措施</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绩效指标分析与建议</w:t>
            </w:r>
          </w:p>
        </w:tc>
      </w:tr>
      <w:tr>
        <w:tblPrEx>
          <w:tblCellMar>
            <w:top w:w="0" w:type="dxa"/>
            <w:left w:w="0" w:type="dxa"/>
            <w:bottom w:w="0" w:type="dxa"/>
            <w:right w:w="0" w:type="dxa"/>
          </w:tblCellMar>
        </w:tblPrEx>
        <w:trPr>
          <w:trHeight w:val="2600"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投入</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预算执行（25分）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支出进度率</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支出进度率=（实际支出/支出预算）×100%，用以反映和考核部门（单位）预算执行的及时性和均衡性程度。</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半年支出进度＝部门上半年实际支出/（上年结余结转+本年部门预算安排+上半年执行中追加追减）*100%。</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前三季度支出进度＝部门前三季度实际支出/（上年结余结转+本年部门预算安排+前三季度执行中追加追减）*100%。</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半年进度：进度率≥45%，得2分；进度率在40%（含）和45%之间，得1分；进度率＜40%，得0分。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前三季度进度：进度率≥75%，得3分；进度率在60%（含）和75%之间，得2分；进度率＜60%，得0分。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半年进度：</w:t>
            </w:r>
            <w:r>
              <w:rPr>
                <w:rStyle w:val="18"/>
                <w:rFonts w:hint="default" w:hAnsi="宋体"/>
              </w:rPr>
              <w:t>（19.67/46.35 ）×100%；</w:t>
            </w:r>
            <w:r>
              <w:rPr>
                <w:rStyle w:val="19"/>
                <w:rFonts w:hint="default" w:hAnsi="宋体"/>
                <w:sz w:val="16"/>
                <w:szCs w:val="16"/>
              </w:rPr>
              <w:br w:type="textWrapping"/>
            </w:r>
            <w:r>
              <w:rPr>
                <w:rStyle w:val="19"/>
                <w:rFonts w:hint="default" w:hAnsi="宋体"/>
                <w:sz w:val="16"/>
                <w:szCs w:val="16"/>
              </w:rPr>
              <w:t>前三季度进度：</w:t>
            </w:r>
            <w:r>
              <w:rPr>
                <w:rStyle w:val="18"/>
                <w:rFonts w:hint="default" w:hAnsi="宋体"/>
              </w:rPr>
              <w:t>（54.26/69.53）×100%；</w:t>
            </w:r>
            <w:r>
              <w:rPr>
                <w:rStyle w:val="18"/>
                <w:rFonts w:hint="default" w:hAnsi="宋体"/>
              </w:rPr>
              <w:br w:type="textWrapping"/>
            </w:r>
            <w:r>
              <w:rPr>
                <w:rStyle w:val="19"/>
                <w:rFonts w:hint="default" w:hAnsi="宋体"/>
                <w:sz w:val="16"/>
                <w:szCs w:val="16"/>
              </w:rPr>
              <w:t>获取方式：集中支付系统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rPr>
                <w:rFonts w:ascii="楷体_GB2312" w:hAnsi="宋体" w:eastAsia="楷体_GB2312" w:cs="楷体_GB2312"/>
                <w:color w:val="000000"/>
                <w:sz w:val="16"/>
                <w:szCs w:val="16"/>
              </w:rPr>
            </w:pPr>
            <w:r>
              <w:rPr>
                <w:rFonts w:hint="eastAsia" w:ascii="楷体_GB2312" w:hAnsi="宋体" w:eastAsia="楷体_GB2312" w:cs="楷体_GB2312"/>
                <w:color w:val="000000"/>
                <w:sz w:val="16"/>
                <w:szCs w:val="16"/>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半年进度42.01%</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前三季度进度78.04%</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仿宋_GB2312" w:hAnsi="宋体" w:eastAsia="仿宋_GB2312" w:cs="仿宋_GB2312"/>
                <w:color w:val="000000"/>
                <w:sz w:val="16"/>
                <w:szCs w:val="16"/>
              </w:rPr>
            </w:pPr>
            <w:r>
              <w:rPr>
                <w:rFonts w:hint="eastAsia" w:ascii="仿宋_GB2312" w:hAnsi="宋体" w:eastAsia="仿宋_GB2312" w:cs="仿宋_GB2312"/>
                <w:color w:val="000000"/>
                <w:sz w:val="16"/>
                <w:szCs w:val="16"/>
              </w:rPr>
              <w:t>半年进度未完成原因：</w:t>
            </w:r>
            <w:r>
              <w:rPr>
                <w:rFonts w:hint="eastAsia" w:ascii="仿宋_GB2312" w:hAnsi="宋体" w:eastAsia="仿宋_GB2312" w:cs="仿宋_GB2312"/>
                <w:color w:val="000000"/>
                <w:kern w:val="0"/>
                <w:sz w:val="16"/>
                <w:szCs w:val="16"/>
              </w:rPr>
              <w:t>本部门为2019年3月机构改革时新成立单位，账务暂时不能使用。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仿宋_GB2312" w:hAnsi="宋体" w:eastAsia="仿宋_GB2312" w:cs="仿宋_GB2312"/>
                <w:color w:val="000000"/>
                <w:sz w:val="16"/>
                <w:szCs w:val="16"/>
              </w:rPr>
            </w:pPr>
          </w:p>
        </w:tc>
      </w:tr>
      <w:tr>
        <w:tblPrEx>
          <w:tblCellMar>
            <w:top w:w="0" w:type="dxa"/>
            <w:left w:w="0" w:type="dxa"/>
            <w:bottom w:w="0" w:type="dxa"/>
            <w:right w:w="0" w:type="dxa"/>
          </w:tblCellMar>
        </w:tblPrEx>
        <w:trPr>
          <w:trHeight w:val="153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rPr>
                <w:rFonts w:ascii="楷体_GB2312" w:hAnsi="宋体" w:eastAsia="楷体_GB2312" w:cs="楷体_GB2312"/>
                <w:color w:val="000000"/>
                <w:sz w:val="16"/>
                <w:szCs w:val="16"/>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预算编制准确率（5分）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部门预算中除财政拨款外的其他收入预算与决算差异率。</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预算编制准确率＝其他收入决算数/其他收入预算数×100%-100%。</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预算编制准确率≤20%，得5分。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预算编制准确率在20%和40%（含）之间，得3分。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预算编制准确率＞40%，得0分。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其他收入为不可预见的收入，未列入部门预算，今后将重视对其他收入的估计。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sz w:val="16"/>
                <w:szCs w:val="16"/>
              </w:rPr>
              <w:t>其他收入预算为0时，公示不成立。</w:t>
            </w:r>
          </w:p>
        </w:tc>
      </w:tr>
      <w:tr>
        <w:tblPrEx>
          <w:tblCellMar>
            <w:top w:w="0" w:type="dxa"/>
            <w:left w:w="0" w:type="dxa"/>
            <w:bottom w:w="0" w:type="dxa"/>
            <w:right w:w="0" w:type="dxa"/>
          </w:tblCellMar>
        </w:tblPrEx>
        <w:trPr>
          <w:trHeight w:val="1160"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过程</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预算管理（15分）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“三公经费”控制率</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“三公经费”控制率=（“三公经费”实际支出数/“三公经费”预算安排数）×100%，用以反映和考核部门（单位）对“三公经费”的实际控制程度。</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三公经费控制率 ≤100%，得5分，每增加0.1个百分点扣0.5分，扣完为止。</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“三公经费”实际支出数为0，获取方式2019年部门决算数据。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rPr>
                <w:rFonts w:ascii="楷体_GB2312" w:hAnsi="宋体" w:eastAsia="楷体_GB2312" w:cs="楷体_GB2312"/>
                <w:color w:val="000000"/>
                <w:sz w:val="16"/>
                <w:szCs w:val="16"/>
              </w:rPr>
            </w:pPr>
            <w:r>
              <w:rPr>
                <w:rFonts w:hint="eastAsia" w:ascii="楷体_GB2312" w:hAnsi="宋体" w:eastAsia="楷体_GB2312" w:cs="楷体_GB2312"/>
                <w:color w:val="000000"/>
                <w:sz w:val="16"/>
                <w:szCs w:val="16"/>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0</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仿宋_GB2312" w:hAnsi="宋体" w:eastAsia="仿宋_GB2312" w:cs="仿宋_GB2312"/>
                <w:color w:val="000000"/>
                <w:sz w:val="16"/>
                <w:szCs w:val="16"/>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仿宋_GB2312" w:hAnsi="宋体" w:eastAsia="仿宋_GB2312" w:cs="仿宋_GB2312"/>
                <w:color w:val="000000"/>
                <w:sz w:val="16"/>
                <w:szCs w:val="16"/>
              </w:rPr>
            </w:pPr>
          </w:p>
        </w:tc>
      </w:tr>
      <w:tr>
        <w:tblPrEx>
          <w:tblCellMar>
            <w:top w:w="0" w:type="dxa"/>
            <w:left w:w="0" w:type="dxa"/>
            <w:bottom w:w="0" w:type="dxa"/>
            <w:right w:w="0" w:type="dxa"/>
          </w:tblCellMar>
        </w:tblPrEx>
        <w:trPr>
          <w:trHeight w:val="178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rPr>
                <w:rFonts w:ascii="楷体_GB2312" w:hAnsi="宋体" w:eastAsia="楷体_GB2312" w:cs="楷体_GB2312"/>
                <w:color w:val="000000"/>
                <w:sz w:val="16"/>
                <w:szCs w:val="16"/>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资产管理规范性</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部门（单位）资产管理是否规范，用以反映和考核部门（单位）资产管理情况。</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1.新增资产配置按预算执行。</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2.资产有偿使用、处置按规定程序审批。</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3.资产收益及时、足额上缴财政。</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全部符合5分，有1项不符扣2分,扣完为止。</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r>
      <w:tr>
        <w:tblPrEx>
          <w:tblCellMar>
            <w:top w:w="0" w:type="dxa"/>
            <w:left w:w="0" w:type="dxa"/>
            <w:bottom w:w="0" w:type="dxa"/>
            <w:right w:w="0" w:type="dxa"/>
          </w:tblCellMar>
        </w:tblPrEx>
        <w:trPr>
          <w:trHeight w:val="79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一级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二级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三级指标</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分值</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指标说明</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评分标准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指标值计算公式和数据获取方式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年初目标值</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实际完成值</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得分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未完成原因分析与改进措施</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绩效指标分析与建议</w:t>
            </w:r>
          </w:p>
        </w:tc>
      </w:tr>
      <w:tr>
        <w:tblPrEx>
          <w:tblCellMar>
            <w:top w:w="0" w:type="dxa"/>
            <w:left w:w="0" w:type="dxa"/>
            <w:bottom w:w="0" w:type="dxa"/>
            <w:right w:w="0" w:type="dxa"/>
          </w:tblCellMar>
        </w:tblPrEx>
        <w:trPr>
          <w:trHeight w:val="288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过程</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预算管理（15分）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资金使用合规性</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部门（单位）使用预算资金是否符合相关的预算财务管理制度的规定，用以反映和考核部门（单位）预算资金的规范运行情况。</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1.符合国家财经法规和财务管理制度规定以及有关专项资金管理办法的规定；</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2.资金的拨付有完整的审批程序和手续；</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3.重大项目开支经过评估论证；</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4.符合部门预算批复的用途；</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5.不存在截留、挤占、挪用、虚列支出等情况。</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全部符合5分,有1项不符扣2分。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r>
      <w:tr>
        <w:tblPrEx>
          <w:tblCellMar>
            <w:top w:w="0" w:type="dxa"/>
            <w:left w:w="0" w:type="dxa"/>
            <w:bottom w:w="0" w:type="dxa"/>
            <w:right w:w="0" w:type="dxa"/>
          </w:tblCellMar>
        </w:tblPrEx>
        <w:trPr>
          <w:trHeight w:val="1035"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效果</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履职尽责（60分）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项目产出</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（40分）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40</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31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1.若为定性指标，根据“三档”原则分别按照指标分值的100-80%（含）、80-50%（含）、50-10%来记分；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rPr>
                <w:rFonts w:ascii="楷体_GB2312" w:hAnsi="宋体" w:eastAsia="楷体_GB2312" w:cs="楷体_GB2312"/>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40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r>
      <w:tr>
        <w:tblPrEx>
          <w:tblCellMar>
            <w:top w:w="0" w:type="dxa"/>
            <w:left w:w="0" w:type="dxa"/>
            <w:bottom w:w="0" w:type="dxa"/>
            <w:right w:w="0" w:type="dxa"/>
          </w:tblCellMar>
        </w:tblPrEx>
        <w:trPr>
          <w:trHeight w:val="1155"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rPr>
                <w:rFonts w:ascii="楷体_GB2312" w:hAnsi="宋体" w:eastAsia="楷体_GB2312" w:cs="楷体_GB2312"/>
                <w:color w:val="000000"/>
                <w:sz w:val="16"/>
                <w:szCs w:val="16"/>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项目效益</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（20分）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20</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3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rPr>
                <w:rFonts w:ascii="楷体_GB2312" w:hAnsi="宋体" w:eastAsia="楷体_GB2312" w:cs="楷体_GB2312"/>
                <w:color w:val="000000"/>
                <w:sz w:val="16"/>
                <w:szCs w:val="16"/>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rPr>
                <w:rFonts w:ascii="楷体_GB2312" w:hAnsi="宋体" w:eastAsia="楷体_GB2312" w:cs="楷体_GB2312"/>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20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r>
      <w:tr>
        <w:tblPrEx>
          <w:tblCellMar>
            <w:top w:w="0" w:type="dxa"/>
            <w:left w:w="0" w:type="dxa"/>
            <w:bottom w:w="0" w:type="dxa"/>
            <w:right w:w="0" w:type="dxa"/>
          </w:tblCellMar>
        </w:tblPrEx>
        <w:trPr>
          <w:trHeight w:val="1395" w:hRule="atLeast"/>
          <w:jc w:val="center"/>
        </w:trPr>
        <w:tc>
          <w:tcPr>
            <w:tcW w:w="13835" w:type="dxa"/>
            <w:gridSpan w:val="1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备注：</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1.“项目产出”和“项目效果”直接细化成部门年初绩效目标中的指标，并根据重要程度赋权。</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rPr>
          <w:rFonts w:ascii="楷体" w:hAnsi="楷体" w:eastAsia="楷体" w:cs="楷体"/>
          <w:sz w:val="32"/>
          <w:szCs w:val="32"/>
        </w:rPr>
        <w:sectPr>
          <w:pgSz w:w="16838" w:h="11906" w:orient="landscape"/>
          <w:pgMar w:top="1474" w:right="1984" w:bottom="1587" w:left="2098" w:header="851" w:footer="992" w:gutter="0"/>
          <w:cols w:space="0" w:num="1"/>
          <w:docGrid w:type="lines" w:linePitch="315" w:charSpace="0"/>
        </w:sectPr>
      </w:pPr>
      <w:r>
        <w:rPr>
          <w:rFonts w:hint="eastAsia" w:ascii="楷体" w:hAnsi="楷体" w:eastAsia="楷体" w:cs="楷体"/>
          <w:sz w:val="32"/>
          <w:szCs w:val="32"/>
        </w:rPr>
        <w:br w:type="page"/>
      </w:r>
    </w:p>
    <w:p>
      <w:pPr>
        <w:spacing w:line="560" w:lineRule="exact"/>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spacing w:line="560" w:lineRule="exact"/>
        <w:ind w:firstLine="643" w:firstLineChars="200"/>
        <w:jc w:val="left"/>
      </w:pPr>
      <w:r>
        <w:rPr>
          <w:rFonts w:hint="eastAsia" w:ascii="楷体_GB2312" w:hAnsi="宋体" w:eastAsia="楷体_GB2312" w:cs="楷体_GB2312"/>
          <w:b/>
          <w:color w:val="000000"/>
          <w:kern w:val="0"/>
          <w:sz w:val="32"/>
          <w:szCs w:val="32"/>
        </w:rPr>
        <w:t>（一）机关运行经费支出情况说明。</w:t>
      </w:r>
    </w:p>
    <w:p>
      <w:pPr>
        <w:spacing w:line="560" w:lineRule="exact"/>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支出决算为3.20万元。</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年无政府采购支出。</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年末，本部门机关及所属单位共有车辆0辆；单价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万元以上的通用设备0台（套）；单价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万元以上的专用设备0台（套）。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年当年购置车辆0辆；购置单价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万元以上的通用设备0台（套）；购置单价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万元以上的专用设备0台（套）。</w:t>
      </w:r>
    </w:p>
    <w:p>
      <w:pPr>
        <w:spacing w:line="560" w:lineRule="exact"/>
        <w:jc w:val="center"/>
        <w:rPr>
          <w:sz w:val="44"/>
          <w:szCs w:val="44"/>
        </w:rPr>
      </w:pPr>
      <w:r>
        <w:rPr>
          <w:rFonts w:hint="eastAsia" w:ascii="黑体" w:hAnsi="宋体" w:eastAsia="黑体"/>
          <w:color w:val="000000"/>
          <w:kern w:val="0"/>
          <w:sz w:val="44"/>
          <w:szCs w:val="44"/>
        </w:rPr>
        <w:t>第四部分专业名词解释</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spacing w:line="560" w:lineRule="exact"/>
        <w:ind w:firstLine="640"/>
        <w:rPr>
          <w:rFonts w:hint="eastAsia"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pStyle w:val="2"/>
      </w:pPr>
      <w:bookmarkStart w:id="0" w:name="_GoBack"/>
      <w:bookmarkEnd w:id="0"/>
    </w:p>
    <w:sectPr>
      <w:pgSz w:w="11906" w:h="16838"/>
      <w:pgMar w:top="1984" w:right="1587" w:bottom="2098" w:left="147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oQgobAgAAIQQAAA4AAABkcnMvZTJvRG9jLnhtbK1TzW4TMRC+I/EO&#10;lu9kN0Gt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7dX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EhoQgobAgAAIQQAAA4A&#10;AAAAAAAAAQAgAAAAHwEAAGRycy9lMm9Eb2MueG1sUEsFBgAAAAAGAAYAWQEAAKw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HorizontalSpacing w:val="105"/>
  <w:drawingGridVerticalSpacing w:val="158"/>
  <w:displayVerticalDrawingGridEvery w:val="2"/>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31AA6038"/>
    <w:rsid w:val="00050E89"/>
    <w:rsid w:val="00146787"/>
    <w:rsid w:val="00164001"/>
    <w:rsid w:val="001D7568"/>
    <w:rsid w:val="002424C8"/>
    <w:rsid w:val="0026476C"/>
    <w:rsid w:val="002A7893"/>
    <w:rsid w:val="003364E9"/>
    <w:rsid w:val="003D65F5"/>
    <w:rsid w:val="00452E2E"/>
    <w:rsid w:val="004B6D6E"/>
    <w:rsid w:val="005376A0"/>
    <w:rsid w:val="00614BB8"/>
    <w:rsid w:val="00747A56"/>
    <w:rsid w:val="007513E8"/>
    <w:rsid w:val="00780EFB"/>
    <w:rsid w:val="00813F4A"/>
    <w:rsid w:val="008D167A"/>
    <w:rsid w:val="009B0EA0"/>
    <w:rsid w:val="00A71A99"/>
    <w:rsid w:val="00B501F0"/>
    <w:rsid w:val="00B7067D"/>
    <w:rsid w:val="00B80654"/>
    <w:rsid w:val="00D72E73"/>
    <w:rsid w:val="00DA047D"/>
    <w:rsid w:val="00E4076F"/>
    <w:rsid w:val="00E67004"/>
    <w:rsid w:val="00E8111E"/>
    <w:rsid w:val="010764C7"/>
    <w:rsid w:val="010E0F72"/>
    <w:rsid w:val="013B79AC"/>
    <w:rsid w:val="01ED4542"/>
    <w:rsid w:val="02010738"/>
    <w:rsid w:val="021331CF"/>
    <w:rsid w:val="02632503"/>
    <w:rsid w:val="02794777"/>
    <w:rsid w:val="03ED6206"/>
    <w:rsid w:val="04255444"/>
    <w:rsid w:val="08D45050"/>
    <w:rsid w:val="097F4F9E"/>
    <w:rsid w:val="09B702F8"/>
    <w:rsid w:val="0AC75EE4"/>
    <w:rsid w:val="0AFF4101"/>
    <w:rsid w:val="0BD95A2F"/>
    <w:rsid w:val="0CED4950"/>
    <w:rsid w:val="0D437461"/>
    <w:rsid w:val="0E466166"/>
    <w:rsid w:val="0F8C6425"/>
    <w:rsid w:val="1066317A"/>
    <w:rsid w:val="125E2600"/>
    <w:rsid w:val="12D62199"/>
    <w:rsid w:val="132E46A0"/>
    <w:rsid w:val="13B772A3"/>
    <w:rsid w:val="14411117"/>
    <w:rsid w:val="1586116E"/>
    <w:rsid w:val="15CC451D"/>
    <w:rsid w:val="177672A7"/>
    <w:rsid w:val="18026B98"/>
    <w:rsid w:val="18BB4AD7"/>
    <w:rsid w:val="19E5557E"/>
    <w:rsid w:val="1B1704E4"/>
    <w:rsid w:val="1B4A3FDA"/>
    <w:rsid w:val="1B524C98"/>
    <w:rsid w:val="1B88586F"/>
    <w:rsid w:val="1C5E2F73"/>
    <w:rsid w:val="1CA11BF8"/>
    <w:rsid w:val="1D6E0C0D"/>
    <w:rsid w:val="1E527E30"/>
    <w:rsid w:val="1EED1725"/>
    <w:rsid w:val="1F431102"/>
    <w:rsid w:val="1F720926"/>
    <w:rsid w:val="1FC17AA7"/>
    <w:rsid w:val="221C15BB"/>
    <w:rsid w:val="23980446"/>
    <w:rsid w:val="245F399D"/>
    <w:rsid w:val="25627BE9"/>
    <w:rsid w:val="27F42EA9"/>
    <w:rsid w:val="28D338B5"/>
    <w:rsid w:val="29523B42"/>
    <w:rsid w:val="29785A6B"/>
    <w:rsid w:val="29AC2A51"/>
    <w:rsid w:val="2A67152C"/>
    <w:rsid w:val="2AAD6054"/>
    <w:rsid w:val="2BBD6D76"/>
    <w:rsid w:val="2BC536E8"/>
    <w:rsid w:val="2D1F3974"/>
    <w:rsid w:val="2D664619"/>
    <w:rsid w:val="2DB52EF2"/>
    <w:rsid w:val="2DE6072E"/>
    <w:rsid w:val="2E2F07D7"/>
    <w:rsid w:val="2F742B59"/>
    <w:rsid w:val="2FF7061E"/>
    <w:rsid w:val="31AA6038"/>
    <w:rsid w:val="33866A3B"/>
    <w:rsid w:val="33887EE3"/>
    <w:rsid w:val="34677C61"/>
    <w:rsid w:val="34D70628"/>
    <w:rsid w:val="35B55B70"/>
    <w:rsid w:val="35D57FE2"/>
    <w:rsid w:val="360B1397"/>
    <w:rsid w:val="363C3648"/>
    <w:rsid w:val="367D0319"/>
    <w:rsid w:val="36E733BB"/>
    <w:rsid w:val="37165C93"/>
    <w:rsid w:val="38490334"/>
    <w:rsid w:val="38C10911"/>
    <w:rsid w:val="39DF7A95"/>
    <w:rsid w:val="3A2B4615"/>
    <w:rsid w:val="3A2E1CB1"/>
    <w:rsid w:val="3AD10053"/>
    <w:rsid w:val="3B121AD1"/>
    <w:rsid w:val="3BF534DF"/>
    <w:rsid w:val="3CFD0D2E"/>
    <w:rsid w:val="3E1E71DA"/>
    <w:rsid w:val="3E28200A"/>
    <w:rsid w:val="3F1A5D14"/>
    <w:rsid w:val="3F325444"/>
    <w:rsid w:val="3F7C492A"/>
    <w:rsid w:val="3FCF2ABE"/>
    <w:rsid w:val="41603979"/>
    <w:rsid w:val="41CF436B"/>
    <w:rsid w:val="424B5E4B"/>
    <w:rsid w:val="42580B72"/>
    <w:rsid w:val="43E46B0F"/>
    <w:rsid w:val="442D7522"/>
    <w:rsid w:val="446452BA"/>
    <w:rsid w:val="446746D4"/>
    <w:rsid w:val="45353C08"/>
    <w:rsid w:val="4619368A"/>
    <w:rsid w:val="47116CAF"/>
    <w:rsid w:val="471F2499"/>
    <w:rsid w:val="47880394"/>
    <w:rsid w:val="486F682D"/>
    <w:rsid w:val="497004D3"/>
    <w:rsid w:val="4A326497"/>
    <w:rsid w:val="4BF44A51"/>
    <w:rsid w:val="4CCE0694"/>
    <w:rsid w:val="4D6E0FDF"/>
    <w:rsid w:val="4EE4307A"/>
    <w:rsid w:val="4F143F19"/>
    <w:rsid w:val="4F896297"/>
    <w:rsid w:val="50575C74"/>
    <w:rsid w:val="508831EB"/>
    <w:rsid w:val="50CF4E37"/>
    <w:rsid w:val="5153143F"/>
    <w:rsid w:val="518C2615"/>
    <w:rsid w:val="522D72AF"/>
    <w:rsid w:val="524E446D"/>
    <w:rsid w:val="538A4495"/>
    <w:rsid w:val="53C63AEA"/>
    <w:rsid w:val="54F12DEE"/>
    <w:rsid w:val="551A3D54"/>
    <w:rsid w:val="55AB5C81"/>
    <w:rsid w:val="57305623"/>
    <w:rsid w:val="57834888"/>
    <w:rsid w:val="583F71F4"/>
    <w:rsid w:val="59EF44BD"/>
    <w:rsid w:val="5B8D564A"/>
    <w:rsid w:val="5B9E2643"/>
    <w:rsid w:val="5C3D23AD"/>
    <w:rsid w:val="60CE6290"/>
    <w:rsid w:val="60FA6D30"/>
    <w:rsid w:val="63C77182"/>
    <w:rsid w:val="641A78C4"/>
    <w:rsid w:val="64C248E8"/>
    <w:rsid w:val="6504398F"/>
    <w:rsid w:val="65074FBA"/>
    <w:rsid w:val="67716C67"/>
    <w:rsid w:val="67F1559D"/>
    <w:rsid w:val="69512523"/>
    <w:rsid w:val="6A322E86"/>
    <w:rsid w:val="6A8A7425"/>
    <w:rsid w:val="6CB557ED"/>
    <w:rsid w:val="6D1D3535"/>
    <w:rsid w:val="6DFA1CE2"/>
    <w:rsid w:val="6F7B76A5"/>
    <w:rsid w:val="6F8668AF"/>
    <w:rsid w:val="6FFC6FEE"/>
    <w:rsid w:val="70116E4A"/>
    <w:rsid w:val="70390248"/>
    <w:rsid w:val="71086DB5"/>
    <w:rsid w:val="71C53BFF"/>
    <w:rsid w:val="71D735CD"/>
    <w:rsid w:val="75C31473"/>
    <w:rsid w:val="763862ED"/>
    <w:rsid w:val="766E3C4B"/>
    <w:rsid w:val="767E5DE8"/>
    <w:rsid w:val="76C66C62"/>
    <w:rsid w:val="76D424F0"/>
    <w:rsid w:val="774E5B03"/>
    <w:rsid w:val="798C1978"/>
    <w:rsid w:val="7A3C067E"/>
    <w:rsid w:val="7B962566"/>
    <w:rsid w:val="7BCF31FF"/>
    <w:rsid w:val="7C3E5E46"/>
    <w:rsid w:val="7C5B5A63"/>
    <w:rsid w:val="7D146464"/>
    <w:rsid w:val="7ED9037F"/>
    <w:rsid w:val="7EE75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firstLine="640"/>
    </w:pPr>
    <w:rPr>
      <w:rFonts w:ascii="仿宋_GB2312" w:hAnsi="仿宋_GB2312" w:eastAsia="仿宋_GB2312" w:cs="仿宋_GB2312"/>
      <w:sz w:val="32"/>
      <w:szCs w:val="32"/>
      <w:lang w:val="zh-CN" w:bidi="zh-CN"/>
    </w:rPr>
  </w:style>
  <w:style w:type="paragraph" w:styleId="3">
    <w:name w:val="annotation text"/>
    <w:basedOn w:val="1"/>
    <w:link w:val="12"/>
    <w:qFormat/>
    <w:uiPriority w:val="99"/>
    <w:pPr>
      <w:jc w:val="left"/>
    </w:p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6"/>
    <w:qFormat/>
    <w:uiPriority w:val="99"/>
    <w:rPr>
      <w:b/>
      <w:bCs/>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99"/>
    <w:rPr>
      <w:rFonts w:cs="Times New Roman"/>
      <w:sz w:val="21"/>
      <w:szCs w:val="21"/>
    </w:rPr>
  </w:style>
  <w:style w:type="character" w:customStyle="1" w:styleId="12">
    <w:name w:val="批注文字 Char"/>
    <w:basedOn w:val="10"/>
    <w:link w:val="3"/>
    <w:qFormat/>
    <w:locked/>
    <w:uiPriority w:val="99"/>
    <w:rPr>
      <w:rFonts w:ascii="Calibri" w:hAnsi="Calibri" w:cs="黑体"/>
      <w:kern w:val="2"/>
      <w:sz w:val="24"/>
      <w:szCs w:val="24"/>
    </w:rPr>
  </w:style>
  <w:style w:type="character" w:customStyle="1" w:styleId="13">
    <w:name w:val="批注框文本 Char"/>
    <w:basedOn w:val="10"/>
    <w:link w:val="4"/>
    <w:qFormat/>
    <w:locked/>
    <w:uiPriority w:val="99"/>
    <w:rPr>
      <w:rFonts w:ascii="Calibri" w:hAnsi="Calibri" w:cs="黑体"/>
      <w:kern w:val="2"/>
      <w:sz w:val="18"/>
      <w:szCs w:val="18"/>
    </w:rPr>
  </w:style>
  <w:style w:type="character" w:customStyle="1" w:styleId="14">
    <w:name w:val="页脚 Char"/>
    <w:basedOn w:val="10"/>
    <w:link w:val="5"/>
    <w:semiHidden/>
    <w:qFormat/>
    <w:uiPriority w:val="99"/>
    <w:rPr>
      <w:rFonts w:ascii="Calibri" w:hAnsi="Calibri" w:cs="黑体"/>
      <w:sz w:val="18"/>
      <w:szCs w:val="18"/>
    </w:rPr>
  </w:style>
  <w:style w:type="character" w:customStyle="1" w:styleId="15">
    <w:name w:val="页眉 Char"/>
    <w:basedOn w:val="10"/>
    <w:link w:val="6"/>
    <w:semiHidden/>
    <w:qFormat/>
    <w:uiPriority w:val="99"/>
    <w:rPr>
      <w:rFonts w:ascii="Calibri" w:hAnsi="Calibri" w:cs="黑体"/>
      <w:sz w:val="18"/>
      <w:szCs w:val="18"/>
    </w:rPr>
  </w:style>
  <w:style w:type="character" w:customStyle="1" w:styleId="16">
    <w:name w:val="批注主题 Char"/>
    <w:basedOn w:val="12"/>
    <w:link w:val="7"/>
    <w:qFormat/>
    <w:locked/>
    <w:uiPriority w:val="99"/>
    <w:rPr>
      <w:b/>
      <w:bCs/>
    </w:rPr>
  </w:style>
  <w:style w:type="character" w:customStyle="1" w:styleId="17">
    <w:name w:val="font31"/>
    <w:basedOn w:val="10"/>
    <w:qFormat/>
    <w:uiPriority w:val="0"/>
    <w:rPr>
      <w:rFonts w:hint="eastAsia" w:ascii="黑体" w:hAnsi="宋体" w:eastAsia="黑体" w:cs="黑体"/>
      <w:color w:val="000000"/>
      <w:sz w:val="20"/>
      <w:szCs w:val="20"/>
      <w:u w:val="none"/>
    </w:rPr>
  </w:style>
  <w:style w:type="character" w:customStyle="1" w:styleId="18">
    <w:name w:val="font91"/>
    <w:basedOn w:val="10"/>
    <w:qFormat/>
    <w:uiPriority w:val="0"/>
    <w:rPr>
      <w:rFonts w:hint="eastAsia" w:ascii="楷体_GB2312" w:eastAsia="楷体_GB2312" w:cs="楷体_GB2312"/>
      <w:color w:val="000000"/>
      <w:sz w:val="16"/>
      <w:szCs w:val="16"/>
      <w:u w:val="none"/>
    </w:rPr>
  </w:style>
  <w:style w:type="character" w:customStyle="1" w:styleId="19">
    <w:name w:val="font71"/>
    <w:basedOn w:val="10"/>
    <w:qFormat/>
    <w:uiPriority w:val="0"/>
    <w:rPr>
      <w:rFonts w:hint="eastAsia" w:ascii="楷体_GB2312"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编制人数</c:v>
                </c:pt>
              </c:strCache>
            </c:strRef>
          </c:tx>
          <c:spPr>
            <a:solidFill>
              <a:schemeClr val="accent1"/>
            </a:solidFill>
            <a:ln>
              <a:noFill/>
            </a:ln>
            <a:effectLst/>
          </c:spPr>
          <c:invertIfNegative val="0"/>
          <c:dLbls>
            <c:delete val="1"/>
          </c:dLbls>
          <c:cat>
            <c:strRef>
              <c:f>Sheet1!$A$2:$A$4</c:f>
              <c:strCache>
                <c:ptCount val="3"/>
                <c:pt idx="0">
                  <c:v>行政人员</c:v>
                </c:pt>
                <c:pt idx="1">
                  <c:v>事业人员</c:v>
                </c:pt>
                <c:pt idx="2">
                  <c:v>离退休人员</c:v>
                </c:pt>
              </c:strCache>
            </c:strRef>
          </c:cat>
          <c:val>
            <c:numRef>
              <c:f>Sheet1!$B$2:$B$4</c:f>
              <c:numCache>
                <c:formatCode>General</c:formatCode>
                <c:ptCount val="3"/>
                <c:pt idx="0">
                  <c:v>4</c:v>
                </c:pt>
                <c:pt idx="1">
                  <c:v>10</c:v>
                </c:pt>
                <c:pt idx="2">
                  <c:v>0</c:v>
                </c:pt>
              </c:numCache>
            </c:numRef>
          </c:val>
        </c:ser>
        <c:ser>
          <c:idx val="1"/>
          <c:order val="1"/>
          <c:tx>
            <c:strRef>
              <c:f>Sheet1!$C$1</c:f>
              <c:strCache>
                <c:ptCount val="1"/>
                <c:pt idx="0">
                  <c:v>实有人数</c:v>
                </c:pt>
              </c:strCache>
            </c:strRef>
          </c:tx>
          <c:spPr>
            <a:solidFill>
              <a:schemeClr val="accent2"/>
            </a:solidFill>
            <a:ln>
              <a:noFill/>
            </a:ln>
            <a:effectLst/>
          </c:spPr>
          <c:invertIfNegative val="0"/>
          <c:dLbls>
            <c:delete val="1"/>
          </c:dLbls>
          <c:cat>
            <c:strRef>
              <c:f>Sheet1!$A$2:$A$4</c:f>
              <c:strCache>
                <c:ptCount val="3"/>
                <c:pt idx="0">
                  <c:v>行政人员</c:v>
                </c:pt>
                <c:pt idx="1">
                  <c:v>事业人员</c:v>
                </c:pt>
                <c:pt idx="2">
                  <c:v>离退休人员</c:v>
                </c:pt>
              </c:strCache>
            </c:strRef>
          </c:cat>
          <c:val>
            <c:numRef>
              <c:f>Sheet1!$C$2:$C$4</c:f>
              <c:numCache>
                <c:formatCode>General</c:formatCode>
                <c:ptCount val="3"/>
                <c:pt idx="0">
                  <c:v>4</c:v>
                </c:pt>
                <c:pt idx="1">
                  <c:v>7</c:v>
                </c:pt>
                <c:pt idx="2">
                  <c:v>0</c:v>
                </c:pt>
              </c:numCache>
            </c:numRef>
          </c:val>
        </c:ser>
        <c:dLbls>
          <c:showLegendKey val="0"/>
          <c:showVal val="0"/>
          <c:showCatName val="0"/>
          <c:showSerName val="0"/>
          <c:showPercent val="0"/>
          <c:showBubbleSize val="0"/>
        </c:dLbls>
        <c:gapWidth val="219"/>
        <c:overlap val="-27"/>
        <c:axId val="98390784"/>
        <c:axId val="98392320"/>
      </c:barChart>
      <c:catAx>
        <c:axId val="983907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92320"/>
        <c:crosses val="autoZero"/>
        <c:auto val="1"/>
        <c:lblAlgn val="ctr"/>
        <c:lblOffset val="100"/>
        <c:noMultiLvlLbl val="0"/>
      </c:catAx>
      <c:valAx>
        <c:axId val="983923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907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收入结构图</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Lbls>
            <c:dLbl>
              <c:idx val="0"/>
              <c:layout/>
              <c:tx>
                <c:rich>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t>89</a:t>
                    </a:r>
                    <a:r>
                      <a:rPr lang="en-US" altLang="zh-CN"/>
                      <a:t>.12</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a:t>10.88</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82.62</c:v>
                </c:pt>
                <c:pt idx="1">
                  <c:v>10.09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支出结构图</a:t>
            </a:r>
          </a:p>
        </c:rich>
      </c:tx>
      <c:layout/>
      <c:overlay val="0"/>
      <c:spPr>
        <a:noFill/>
        <a:ln>
          <a:noFill/>
        </a:ln>
        <a:effectLst/>
      </c:spPr>
    </c:title>
    <c:autoTitleDeleted val="0"/>
    <c:plotArea>
      <c:layout/>
      <c:pieChart>
        <c:varyColors val="1"/>
        <c:ser>
          <c:idx val="0"/>
          <c:order val="0"/>
          <c:tx>
            <c:strRef>
              <c:f>Sheet1!$B$1</c:f>
              <c:strCache>
                <c:ptCount val="1"/>
                <c:pt idx="0">
                  <c:v>支出结构图</c:v>
                </c:pt>
              </c:strCache>
            </c:strRef>
          </c:tx>
          <c:explosion val="0"/>
          <c:dPt>
            <c:idx val="0"/>
            <c:bubble3D val="0"/>
            <c:spPr>
              <a:solidFill>
                <a:schemeClr val="accent1">
                  <a:lumMod val="60000"/>
                  <a:lumOff val="40000"/>
                </a:schemeClr>
              </a:solidFill>
              <a:ln>
                <a:noFill/>
              </a:ln>
              <a:effectLst/>
            </c:spPr>
          </c:dPt>
          <c:dPt>
            <c:idx val="1"/>
            <c:bubble3D val="0"/>
            <c:spPr>
              <a:solidFill>
                <a:schemeClr val="accent3">
                  <a:lumMod val="60000"/>
                  <a:lumOff val="40000"/>
                </a:schemeClr>
              </a:solidFill>
              <a:ln>
                <a:noFill/>
              </a:ln>
              <a:effectLst/>
            </c:spPr>
          </c:dPt>
          <c:dLbls>
            <c:dLbl>
              <c:idx val="0"/>
              <c:layout/>
              <c:tx>
                <c:rich>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t>89</a:t>
                    </a:r>
                    <a:r>
                      <a:rPr lang="en-US" altLang="zh-CN"/>
                      <a:t>.12</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a:t>10.88</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82.62</c:v>
                </c:pt>
                <c:pt idx="1">
                  <c:v>10.09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272648752399232"/>
          <c:y val="0.16671063044051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1682</Words>
  <Characters>9590</Characters>
  <Lines>79</Lines>
  <Paragraphs>22</Paragraphs>
  <TotalTime>42</TotalTime>
  <ScaleCrop>false</ScaleCrop>
  <LinksUpToDate>false</LinksUpToDate>
  <CharactersWithSpaces>11250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2020-10-13T09:19:00Z</cp:lastPrinted>
  <dcterms:modified xsi:type="dcterms:W3CDTF">2020-10-27T09:48:07Z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